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5C" w:rsidRPr="00551A9D" w:rsidRDefault="001F4327" w:rsidP="001F4327">
      <w:pPr>
        <w:spacing w:after="120"/>
        <w:ind w:left="2160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84D7" wp14:editId="4D1EF6E2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930909" cy="7995919"/>
                <wp:effectExtent l="0" t="0" r="22225" b="247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09" cy="7995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2F" w:rsidRPr="00551A9D" w:rsidRDefault="004B062F" w:rsidP="00CD145C">
                            <w:pPr>
                              <w:shd w:val="clear" w:color="auto" w:fill="CCCCCC"/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CONTROLLED</w:t>
                            </w:r>
                            <w:r w:rsidRPr="00551A9D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 DOCUMENT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.1pt;width:73.3pt;height:6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">
                <v:textbox style="layout-flow:vertical;mso-layout-flow-alt:bottom-to-top">
                  <w:txbxContent>
                    <w:p w:rsidR="004B062F" w:rsidRPr="00551A9D" w:rsidRDefault="004B062F" w:rsidP="00CD145C">
                      <w:pPr>
                        <w:shd w:val="clear" w:color="auto" w:fill="CCCCCC"/>
                        <w:jc w:val="center"/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CONTROLLED</w:t>
                      </w:r>
                      <w:r w:rsidRPr="00551A9D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 xml:space="preserve"> DOCUMENT</w:t>
                      </w:r>
                    </w:p>
                  </w:txbxContent>
                </v:textbox>
              </v:shape>
            </w:pict>
          </mc:Fallback>
        </mc:AlternateContent>
      </w:r>
      <w:r w:rsidR="00F51643">
        <w:rPr>
          <w:rFonts w:ascii="Arial" w:hAnsi="Arial" w:cs="Arial"/>
          <w:b/>
          <w:noProof/>
        </w:rPr>
        <w:drawing>
          <wp:inline distT="0" distB="0" distL="0" distR="0" wp14:anchorId="7EFDE3DB">
            <wp:extent cx="3206750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45C" w:rsidRPr="007A1CA7" w:rsidRDefault="00CD145C" w:rsidP="00CD145C">
      <w:pPr>
        <w:rPr>
          <w:rFonts w:ascii="Arial" w:hAnsi="Arial" w:cs="Arial"/>
        </w:rPr>
      </w:pPr>
    </w:p>
    <w:p w:rsidR="00CD145C" w:rsidRPr="007A1CA7" w:rsidRDefault="00CD145C" w:rsidP="00CD145C">
      <w:pPr>
        <w:rPr>
          <w:rFonts w:ascii="Arial" w:hAnsi="Arial" w:cs="Arial"/>
        </w:rPr>
      </w:pPr>
    </w:p>
    <w:p w:rsidR="00CD145C" w:rsidRPr="001F4327" w:rsidRDefault="001F4327" w:rsidP="001F43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="00022241" w:rsidRPr="001F4327">
        <w:rPr>
          <w:rFonts w:ascii="Arial" w:hAnsi="Arial" w:cs="Arial"/>
          <w:b/>
          <w:sz w:val="32"/>
          <w:szCs w:val="32"/>
        </w:rPr>
        <w:t>Review</w:t>
      </w:r>
      <w:r w:rsidR="00774E1C">
        <w:rPr>
          <w:rFonts w:ascii="Arial" w:hAnsi="Arial" w:cs="Arial"/>
          <w:b/>
          <w:sz w:val="32"/>
          <w:szCs w:val="32"/>
        </w:rPr>
        <w:t>ing</w:t>
      </w:r>
      <w:r w:rsidR="00022241" w:rsidRPr="001F4327">
        <w:rPr>
          <w:rFonts w:ascii="Arial" w:hAnsi="Arial" w:cs="Arial"/>
          <w:b/>
          <w:sz w:val="32"/>
          <w:szCs w:val="32"/>
        </w:rPr>
        <w:t xml:space="preserve"> Inpatient Deaths</w:t>
      </w:r>
      <w:r w:rsidR="00A63D04" w:rsidRPr="00A63D04">
        <w:rPr>
          <w:rFonts w:ascii="Arial" w:hAnsi="Arial" w:cs="Arial"/>
          <w:b/>
          <w:sz w:val="32"/>
          <w:szCs w:val="32"/>
        </w:rPr>
        <w:t xml:space="preserve"> </w:t>
      </w:r>
      <w:r w:rsidR="00A63D04" w:rsidRPr="001F4327">
        <w:rPr>
          <w:rFonts w:ascii="Arial" w:hAnsi="Arial" w:cs="Arial"/>
          <w:b/>
          <w:sz w:val="32"/>
          <w:szCs w:val="32"/>
        </w:rPr>
        <w:t xml:space="preserve">Policy </w:t>
      </w:r>
    </w:p>
    <w:p w:rsidR="00CD145C" w:rsidRPr="007A1CA7" w:rsidRDefault="00CD145C" w:rsidP="00CD145C">
      <w:pPr>
        <w:rPr>
          <w:rFonts w:ascii="Arial" w:hAnsi="Arial" w:cs="Arial"/>
        </w:rPr>
      </w:pPr>
    </w:p>
    <w:p w:rsidR="00CD145C" w:rsidRPr="007A1CA7" w:rsidRDefault="00CD145C" w:rsidP="00CD145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56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4027"/>
      </w:tblGrid>
      <w:tr w:rsidR="001F4327" w:rsidRPr="00947815" w:rsidTr="001F4327">
        <w:tc>
          <w:tcPr>
            <w:tcW w:w="2921" w:type="dxa"/>
          </w:tcPr>
          <w:p w:rsidR="001F4327" w:rsidRPr="00947815" w:rsidRDefault="001F4327" w:rsidP="001F4327">
            <w:pPr>
              <w:spacing w:after="120"/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CATEGORY:</w:t>
            </w:r>
          </w:p>
        </w:tc>
        <w:tc>
          <w:tcPr>
            <w:tcW w:w="4027" w:type="dxa"/>
          </w:tcPr>
          <w:p w:rsidR="001F4327" w:rsidRPr="00FC79D9" w:rsidRDefault="001F4327" w:rsidP="001F4327">
            <w:pPr>
              <w:spacing w:after="120"/>
              <w:rPr>
                <w:rFonts w:ascii="Arial" w:hAnsi="Arial" w:cs="Arial"/>
              </w:rPr>
            </w:pPr>
            <w:r w:rsidRPr="00FC79D9">
              <w:rPr>
                <w:rFonts w:ascii="Arial" w:hAnsi="Arial" w:cs="Arial"/>
              </w:rPr>
              <w:t>Policy</w:t>
            </w:r>
          </w:p>
        </w:tc>
      </w:tr>
      <w:tr w:rsidR="001F4327" w:rsidRPr="00947815" w:rsidTr="001F4327">
        <w:tc>
          <w:tcPr>
            <w:tcW w:w="2921" w:type="dxa"/>
          </w:tcPr>
          <w:p w:rsidR="001F4327" w:rsidRPr="00947815" w:rsidRDefault="001F4327" w:rsidP="001F4327">
            <w:pPr>
              <w:spacing w:after="120"/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CLASSIFICATION:</w:t>
            </w:r>
          </w:p>
        </w:tc>
        <w:tc>
          <w:tcPr>
            <w:tcW w:w="4027" w:type="dxa"/>
          </w:tcPr>
          <w:p w:rsidR="001F4327" w:rsidRPr="00C15BE0" w:rsidRDefault="001F4327" w:rsidP="001F4327">
            <w:pPr>
              <w:spacing w:after="120"/>
              <w:rPr>
                <w:rFonts w:ascii="Arial" w:hAnsi="Arial" w:cs="Arial"/>
              </w:rPr>
            </w:pPr>
            <w:r w:rsidRPr="00C15BE0">
              <w:rPr>
                <w:rFonts w:ascii="Arial" w:hAnsi="Arial" w:cs="Arial"/>
              </w:rPr>
              <w:t xml:space="preserve">Governance </w:t>
            </w:r>
          </w:p>
        </w:tc>
      </w:tr>
      <w:tr w:rsidR="001F4327" w:rsidRPr="00947815" w:rsidTr="001F4327">
        <w:tc>
          <w:tcPr>
            <w:tcW w:w="2921" w:type="dxa"/>
          </w:tcPr>
          <w:p w:rsidR="001F4327" w:rsidRPr="00947815" w:rsidRDefault="001F4327" w:rsidP="001F4327">
            <w:pPr>
              <w:spacing w:after="120"/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4027" w:type="dxa"/>
          </w:tcPr>
          <w:p w:rsidR="001F4327" w:rsidRPr="00C15BE0" w:rsidRDefault="00777169" w:rsidP="0077716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set out the</w:t>
            </w:r>
            <w:r w:rsidR="001F4327" w:rsidRPr="00C15BE0">
              <w:rPr>
                <w:rFonts w:ascii="Arial" w:hAnsi="Arial" w:cs="Arial"/>
              </w:rPr>
              <w:t xml:space="preserve"> framework for review</w:t>
            </w:r>
            <w:r>
              <w:rPr>
                <w:rFonts w:ascii="Arial" w:hAnsi="Arial" w:cs="Arial"/>
              </w:rPr>
              <w:t xml:space="preserve">ing inpatient deaths </w:t>
            </w:r>
            <w:r w:rsidR="001F4327" w:rsidRPr="00C15BE0">
              <w:rPr>
                <w:rFonts w:ascii="Arial" w:hAnsi="Arial" w:cs="Arial"/>
              </w:rPr>
              <w:t>across the Trust</w:t>
            </w:r>
            <w:r>
              <w:rPr>
                <w:rFonts w:ascii="Arial" w:hAnsi="Arial" w:cs="Arial"/>
              </w:rPr>
              <w:t>.</w:t>
            </w:r>
          </w:p>
        </w:tc>
      </w:tr>
      <w:tr w:rsidR="001F4327" w:rsidRPr="00947815" w:rsidTr="001F4327">
        <w:tc>
          <w:tcPr>
            <w:tcW w:w="2921" w:type="dxa"/>
          </w:tcPr>
          <w:p w:rsidR="001F4327" w:rsidRPr="00947815" w:rsidRDefault="001F4327" w:rsidP="001F4327">
            <w:pPr>
              <w:spacing w:after="120"/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Version Number:</w:t>
            </w:r>
          </w:p>
        </w:tc>
        <w:tc>
          <w:tcPr>
            <w:tcW w:w="4027" w:type="dxa"/>
          </w:tcPr>
          <w:p w:rsidR="001F4327" w:rsidRPr="00C15BE0" w:rsidRDefault="00086448" w:rsidP="001F432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bookmarkStart w:id="0" w:name="_GoBack"/>
            <w:bookmarkEnd w:id="0"/>
          </w:p>
        </w:tc>
      </w:tr>
      <w:tr w:rsidR="001F4327" w:rsidRPr="00947815" w:rsidTr="001F4327">
        <w:tc>
          <w:tcPr>
            <w:tcW w:w="2921" w:type="dxa"/>
          </w:tcPr>
          <w:p w:rsidR="001F4327" w:rsidRPr="00947815" w:rsidRDefault="001F4327" w:rsidP="001F4327">
            <w:pPr>
              <w:spacing w:after="120"/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Controlled Document Sponsor:</w:t>
            </w:r>
          </w:p>
        </w:tc>
        <w:tc>
          <w:tcPr>
            <w:tcW w:w="4027" w:type="dxa"/>
          </w:tcPr>
          <w:p w:rsidR="001F4327" w:rsidRPr="00C15BE0" w:rsidRDefault="0064734B" w:rsidP="001F432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Director</w:t>
            </w:r>
          </w:p>
        </w:tc>
      </w:tr>
      <w:tr w:rsidR="001F4327" w:rsidRPr="00947815" w:rsidTr="001F4327">
        <w:tc>
          <w:tcPr>
            <w:tcW w:w="2921" w:type="dxa"/>
          </w:tcPr>
          <w:p w:rsidR="001F4327" w:rsidRPr="00947815" w:rsidRDefault="001F4327" w:rsidP="001F4327">
            <w:pPr>
              <w:spacing w:after="120"/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Controlled Document Lead:</w:t>
            </w:r>
          </w:p>
        </w:tc>
        <w:tc>
          <w:tcPr>
            <w:tcW w:w="4027" w:type="dxa"/>
          </w:tcPr>
          <w:p w:rsidR="001F4327" w:rsidRPr="00C15BE0" w:rsidRDefault="00777169" w:rsidP="0097056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Clinical </w:t>
            </w:r>
            <w:r w:rsidR="0097056F">
              <w:rPr>
                <w:rFonts w:ascii="Arial" w:hAnsi="Arial" w:cs="Arial"/>
              </w:rPr>
              <w:t>Safety and Governance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F4327" w:rsidRPr="00947815" w:rsidTr="001F4327">
        <w:tc>
          <w:tcPr>
            <w:tcW w:w="2921" w:type="dxa"/>
          </w:tcPr>
          <w:p w:rsidR="001F4327" w:rsidRPr="00947815" w:rsidRDefault="001F4327" w:rsidP="001F4327">
            <w:pPr>
              <w:spacing w:after="120"/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4027" w:type="dxa"/>
          </w:tcPr>
          <w:p w:rsidR="001F4327" w:rsidRPr="00C15BE0" w:rsidRDefault="008F27C0" w:rsidP="001F432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 Board</w:t>
            </w:r>
          </w:p>
        </w:tc>
      </w:tr>
      <w:tr w:rsidR="001F4327" w:rsidRPr="00947815" w:rsidTr="001F4327">
        <w:tc>
          <w:tcPr>
            <w:tcW w:w="2921" w:type="dxa"/>
          </w:tcPr>
          <w:p w:rsidR="001F4327" w:rsidRPr="00300ADC" w:rsidRDefault="001F4327" w:rsidP="001F4327">
            <w:pPr>
              <w:spacing w:after="120"/>
              <w:rPr>
                <w:rFonts w:ascii="Arial" w:hAnsi="Arial" w:cs="Arial"/>
                <w:b/>
              </w:rPr>
            </w:pPr>
            <w:r w:rsidRPr="00300ADC">
              <w:rPr>
                <w:rFonts w:ascii="Arial" w:hAnsi="Arial" w:cs="Arial"/>
                <w:b/>
              </w:rPr>
              <w:t>On:</w:t>
            </w:r>
          </w:p>
        </w:tc>
        <w:tc>
          <w:tcPr>
            <w:tcW w:w="4027" w:type="dxa"/>
          </w:tcPr>
          <w:p w:rsidR="001F4327" w:rsidRPr="00300ADC" w:rsidRDefault="008F27C0" w:rsidP="001F432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28/11/2017</w:t>
            </w:r>
          </w:p>
        </w:tc>
      </w:tr>
      <w:tr w:rsidR="001F4327" w:rsidRPr="00947815" w:rsidTr="001F4327">
        <w:tc>
          <w:tcPr>
            <w:tcW w:w="2921" w:type="dxa"/>
          </w:tcPr>
          <w:p w:rsidR="001F4327" w:rsidRPr="00300ADC" w:rsidRDefault="001F4327" w:rsidP="001F4327">
            <w:pPr>
              <w:spacing w:after="120"/>
              <w:rPr>
                <w:rFonts w:ascii="Arial" w:hAnsi="Arial" w:cs="Arial"/>
                <w:b/>
              </w:rPr>
            </w:pPr>
            <w:r w:rsidRPr="00300ADC">
              <w:rPr>
                <w:rFonts w:ascii="Arial" w:hAnsi="Arial" w:cs="Arial"/>
                <w:b/>
              </w:rPr>
              <w:t>Review Date:</w:t>
            </w:r>
          </w:p>
        </w:tc>
        <w:tc>
          <w:tcPr>
            <w:tcW w:w="4027" w:type="dxa"/>
          </w:tcPr>
          <w:p w:rsidR="001F4327" w:rsidRPr="00300ADC" w:rsidRDefault="008F27C0" w:rsidP="001F432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28/11/2020</w:t>
            </w:r>
          </w:p>
        </w:tc>
      </w:tr>
      <w:tr w:rsidR="001F4327" w:rsidRPr="00947815" w:rsidTr="002C52B0">
        <w:trPr>
          <w:trHeight w:val="2741"/>
        </w:trPr>
        <w:tc>
          <w:tcPr>
            <w:tcW w:w="2921" w:type="dxa"/>
          </w:tcPr>
          <w:p w:rsidR="001F4327" w:rsidRPr="00947815" w:rsidRDefault="001F4327" w:rsidP="001F4327">
            <w:pPr>
              <w:spacing w:after="120"/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Distribution:</w:t>
            </w:r>
          </w:p>
          <w:p w:rsidR="001F4327" w:rsidRDefault="001F4327" w:rsidP="001F432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 xml:space="preserve">Essential </w:t>
            </w:r>
            <w:smartTag w:uri="urn:schemas-microsoft-com:office:smarttags" w:element="City">
              <w:smartTag w:uri="urn:schemas-microsoft-com:office:smarttags" w:element="place">
                <w:r w:rsidRPr="00947815">
                  <w:rPr>
                    <w:rFonts w:ascii="Arial" w:hAnsi="Arial" w:cs="Arial"/>
                    <w:b/>
                  </w:rPr>
                  <w:t>Reading</w:t>
                </w:r>
              </w:smartTag>
            </w:smartTag>
            <w:r w:rsidRPr="00947815">
              <w:rPr>
                <w:rFonts w:ascii="Arial" w:hAnsi="Arial" w:cs="Arial"/>
                <w:b/>
              </w:rPr>
              <w:t xml:space="preserve"> for:</w:t>
            </w:r>
          </w:p>
          <w:p w:rsidR="00917FB9" w:rsidRDefault="00917FB9" w:rsidP="00917FB9">
            <w:pPr>
              <w:spacing w:after="120"/>
              <w:rPr>
                <w:rFonts w:ascii="Arial" w:hAnsi="Arial" w:cs="Arial"/>
                <w:b/>
              </w:rPr>
            </w:pPr>
          </w:p>
          <w:p w:rsidR="001F4327" w:rsidRPr="00947815" w:rsidRDefault="001F4327" w:rsidP="001F432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Information for:</w:t>
            </w:r>
          </w:p>
        </w:tc>
        <w:tc>
          <w:tcPr>
            <w:tcW w:w="4027" w:type="dxa"/>
          </w:tcPr>
          <w:p w:rsidR="001F4327" w:rsidRPr="00C15BE0" w:rsidRDefault="001F4327" w:rsidP="001F4327">
            <w:pPr>
              <w:spacing w:after="120"/>
              <w:rPr>
                <w:rFonts w:ascii="Arial" w:hAnsi="Arial" w:cs="Arial"/>
              </w:rPr>
            </w:pPr>
          </w:p>
          <w:p w:rsidR="001F4327" w:rsidRDefault="00777169" w:rsidP="00A26CCE">
            <w:pPr>
              <w:pStyle w:val="ListParagraph"/>
              <w:spacing w:after="120"/>
              <w:ind w:left="198"/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t>Medical Examiners</w:t>
            </w:r>
          </w:p>
          <w:p w:rsidR="00917FB9" w:rsidRPr="00917FB9" w:rsidRDefault="00E13A95" w:rsidP="00A26CCE">
            <w:pPr>
              <w:pStyle w:val="ListParagraph"/>
              <w:spacing w:after="120"/>
              <w:ind w:left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Divisional Management Teams</w:t>
            </w:r>
          </w:p>
          <w:p w:rsidR="0097056F" w:rsidRDefault="0097056F" w:rsidP="0097056F">
            <w:pPr>
              <w:pStyle w:val="ListParagraph"/>
              <w:spacing w:after="120"/>
              <w:ind w:left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and Governance Teams</w:t>
            </w:r>
          </w:p>
          <w:p w:rsidR="00917FB9" w:rsidRPr="0097056F" w:rsidRDefault="00917FB9" w:rsidP="0097056F">
            <w:pPr>
              <w:pStyle w:val="ListParagraph"/>
              <w:spacing w:after="120"/>
              <w:ind w:left="198"/>
              <w:rPr>
                <w:rFonts w:ascii="Arial" w:hAnsi="Arial" w:cs="Arial"/>
              </w:rPr>
            </w:pPr>
            <w:r w:rsidRPr="0097056F">
              <w:rPr>
                <w:rFonts w:ascii="Arial" w:hAnsi="Arial" w:cs="Arial"/>
              </w:rPr>
              <w:t>Medical Staff</w:t>
            </w:r>
          </w:p>
          <w:p w:rsidR="00917FB9" w:rsidRPr="00917FB9" w:rsidRDefault="00917FB9" w:rsidP="00917FB9">
            <w:pPr>
              <w:tabs>
                <w:tab w:val="num" w:pos="34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CD145C" w:rsidRPr="007A1CA7" w:rsidRDefault="00CD145C" w:rsidP="00CD145C">
      <w:pPr>
        <w:rPr>
          <w:rFonts w:ascii="Arial" w:hAnsi="Arial" w:cs="Arial"/>
        </w:rPr>
      </w:pPr>
    </w:p>
    <w:p w:rsidR="00CD145C" w:rsidRPr="007A1CA7" w:rsidRDefault="00CD145C" w:rsidP="00CD145C">
      <w:pPr>
        <w:rPr>
          <w:rFonts w:ascii="Arial" w:hAnsi="Arial" w:cs="Arial"/>
        </w:rPr>
      </w:pPr>
    </w:p>
    <w:p w:rsidR="00CD145C" w:rsidRPr="007A1CA7" w:rsidRDefault="00CD145C" w:rsidP="00CD145C">
      <w:pPr>
        <w:rPr>
          <w:rFonts w:ascii="Arial" w:hAnsi="Arial" w:cs="Arial"/>
        </w:rPr>
      </w:pPr>
    </w:p>
    <w:p w:rsidR="00CD145C" w:rsidRPr="007A1CA7" w:rsidRDefault="00CD145C" w:rsidP="00CD145C">
      <w:pPr>
        <w:rPr>
          <w:rFonts w:ascii="Arial" w:hAnsi="Arial" w:cs="Arial"/>
        </w:rPr>
        <w:sectPr w:rsidR="00CD145C" w:rsidRPr="007A1CA7" w:rsidSect="00656E8F">
          <w:footerReference w:type="default" r:id="rId10"/>
          <w:type w:val="continuous"/>
          <w:pgSz w:w="11906" w:h="16838" w:code="9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p w:rsidR="00CD145C" w:rsidRPr="007A1CA7" w:rsidRDefault="00CD145C" w:rsidP="00CD145C">
      <w:pPr>
        <w:rPr>
          <w:rFonts w:ascii="Arial" w:hAnsi="Arial" w:cs="Arial"/>
          <w:b/>
          <w:sz w:val="28"/>
          <w:szCs w:val="28"/>
        </w:rPr>
      </w:pPr>
      <w:r w:rsidRPr="007A1CA7">
        <w:rPr>
          <w:rFonts w:ascii="Arial" w:hAnsi="Arial" w:cs="Arial"/>
          <w:b/>
          <w:sz w:val="28"/>
          <w:szCs w:val="28"/>
        </w:rPr>
        <w:lastRenderedPageBreak/>
        <w:t>Contents</w:t>
      </w:r>
      <w:r w:rsidR="00530EEC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6540"/>
        <w:gridCol w:w="987"/>
      </w:tblGrid>
      <w:tr w:rsidR="00CD145C" w:rsidRPr="00947815" w:rsidTr="00656E8F">
        <w:trPr>
          <w:tblHeader/>
          <w:jc w:val="center"/>
        </w:trPr>
        <w:tc>
          <w:tcPr>
            <w:tcW w:w="8117" w:type="dxa"/>
            <w:gridSpan w:val="2"/>
            <w:vAlign w:val="center"/>
          </w:tcPr>
          <w:p w:rsidR="00CD145C" w:rsidRPr="00947815" w:rsidRDefault="00CD145C" w:rsidP="00656E8F">
            <w:pPr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Paragraph</w:t>
            </w:r>
            <w:r w:rsidR="00530EEC">
              <w:rPr>
                <w:rFonts w:ascii="Arial" w:hAnsi="Arial" w:cs="Arial"/>
                <w:b/>
              </w:rPr>
              <w:br/>
            </w:r>
          </w:p>
        </w:tc>
        <w:tc>
          <w:tcPr>
            <w:tcW w:w="987" w:type="dxa"/>
            <w:vAlign w:val="center"/>
          </w:tcPr>
          <w:p w:rsidR="00CD145C" w:rsidRPr="00947815" w:rsidRDefault="00CD145C" w:rsidP="00656E8F">
            <w:pPr>
              <w:jc w:val="center"/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Page</w:t>
            </w:r>
          </w:p>
        </w:tc>
      </w:tr>
      <w:tr w:rsidR="00CD145C" w:rsidRPr="00947815" w:rsidTr="00530EEC">
        <w:trPr>
          <w:jc w:val="center"/>
        </w:trPr>
        <w:tc>
          <w:tcPr>
            <w:tcW w:w="1577" w:type="dxa"/>
            <w:vAlign w:val="center"/>
          </w:tcPr>
          <w:p w:rsidR="00CD145C" w:rsidRPr="00947815" w:rsidRDefault="00CD145C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1</w:t>
            </w:r>
          </w:p>
        </w:tc>
        <w:tc>
          <w:tcPr>
            <w:tcW w:w="6540" w:type="dxa"/>
            <w:vAlign w:val="center"/>
          </w:tcPr>
          <w:p w:rsidR="00CD145C" w:rsidRPr="00947815" w:rsidRDefault="00CD145C" w:rsidP="00656E8F">
            <w:pPr>
              <w:spacing w:before="80" w:after="80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Policy Statement</w:t>
            </w:r>
          </w:p>
        </w:tc>
        <w:tc>
          <w:tcPr>
            <w:tcW w:w="987" w:type="dxa"/>
            <w:vAlign w:val="center"/>
          </w:tcPr>
          <w:p w:rsidR="00CD145C" w:rsidRPr="00947815" w:rsidRDefault="00B03295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D145C" w:rsidRPr="00947815" w:rsidTr="00530EEC">
        <w:trPr>
          <w:jc w:val="center"/>
        </w:trPr>
        <w:tc>
          <w:tcPr>
            <w:tcW w:w="1577" w:type="dxa"/>
            <w:vAlign w:val="center"/>
          </w:tcPr>
          <w:p w:rsidR="00CD145C" w:rsidRPr="00947815" w:rsidRDefault="00CD145C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2</w:t>
            </w:r>
          </w:p>
        </w:tc>
        <w:tc>
          <w:tcPr>
            <w:tcW w:w="6540" w:type="dxa"/>
            <w:vAlign w:val="center"/>
          </w:tcPr>
          <w:p w:rsidR="00CD145C" w:rsidRPr="00947815" w:rsidRDefault="00CD145C" w:rsidP="00656E8F">
            <w:pPr>
              <w:spacing w:before="80" w:after="80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Scope</w:t>
            </w:r>
          </w:p>
        </w:tc>
        <w:tc>
          <w:tcPr>
            <w:tcW w:w="987" w:type="dxa"/>
            <w:vAlign w:val="center"/>
          </w:tcPr>
          <w:p w:rsidR="00CD145C" w:rsidRPr="00947815" w:rsidRDefault="00B03295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D145C" w:rsidRPr="00947815" w:rsidTr="00530EEC">
        <w:trPr>
          <w:jc w:val="center"/>
        </w:trPr>
        <w:tc>
          <w:tcPr>
            <w:tcW w:w="1577" w:type="dxa"/>
            <w:vAlign w:val="center"/>
          </w:tcPr>
          <w:p w:rsidR="00CD145C" w:rsidRPr="00947815" w:rsidRDefault="00CD145C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3</w:t>
            </w:r>
          </w:p>
        </w:tc>
        <w:tc>
          <w:tcPr>
            <w:tcW w:w="6540" w:type="dxa"/>
            <w:vAlign w:val="center"/>
          </w:tcPr>
          <w:p w:rsidR="00CD145C" w:rsidRPr="00947815" w:rsidRDefault="00CD145C" w:rsidP="00656E8F">
            <w:pPr>
              <w:spacing w:before="80" w:after="80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Framework</w:t>
            </w:r>
          </w:p>
        </w:tc>
        <w:tc>
          <w:tcPr>
            <w:tcW w:w="987" w:type="dxa"/>
            <w:vAlign w:val="center"/>
          </w:tcPr>
          <w:p w:rsidR="00CD145C" w:rsidRPr="00947815" w:rsidRDefault="00B03295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D145C" w:rsidRPr="00947815" w:rsidTr="00530EEC">
        <w:trPr>
          <w:jc w:val="center"/>
        </w:trPr>
        <w:tc>
          <w:tcPr>
            <w:tcW w:w="1577" w:type="dxa"/>
            <w:vAlign w:val="center"/>
          </w:tcPr>
          <w:p w:rsidR="00CD145C" w:rsidRPr="00947815" w:rsidRDefault="00CD145C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4</w:t>
            </w:r>
          </w:p>
        </w:tc>
        <w:tc>
          <w:tcPr>
            <w:tcW w:w="6540" w:type="dxa"/>
            <w:vAlign w:val="center"/>
          </w:tcPr>
          <w:p w:rsidR="00CD145C" w:rsidRPr="00947815" w:rsidRDefault="00CD145C" w:rsidP="00656E8F">
            <w:pPr>
              <w:spacing w:before="80" w:after="80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Duties</w:t>
            </w:r>
          </w:p>
        </w:tc>
        <w:tc>
          <w:tcPr>
            <w:tcW w:w="987" w:type="dxa"/>
            <w:vAlign w:val="center"/>
          </w:tcPr>
          <w:p w:rsidR="00CD145C" w:rsidRPr="00947815" w:rsidRDefault="00971956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D145C" w:rsidRPr="00947815" w:rsidTr="00530EEC">
        <w:trPr>
          <w:jc w:val="center"/>
        </w:trPr>
        <w:tc>
          <w:tcPr>
            <w:tcW w:w="1577" w:type="dxa"/>
            <w:vAlign w:val="center"/>
          </w:tcPr>
          <w:p w:rsidR="00CD145C" w:rsidRPr="00947815" w:rsidRDefault="00CD145C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5</w:t>
            </w:r>
          </w:p>
        </w:tc>
        <w:tc>
          <w:tcPr>
            <w:tcW w:w="6540" w:type="dxa"/>
            <w:vAlign w:val="center"/>
          </w:tcPr>
          <w:p w:rsidR="00CD145C" w:rsidRPr="00947815" w:rsidRDefault="00CD145C" w:rsidP="00656E8F">
            <w:pPr>
              <w:spacing w:after="120"/>
              <w:jc w:val="both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Implementation and Monitoring</w:t>
            </w:r>
          </w:p>
        </w:tc>
        <w:tc>
          <w:tcPr>
            <w:tcW w:w="987" w:type="dxa"/>
            <w:vAlign w:val="center"/>
          </w:tcPr>
          <w:p w:rsidR="00CD145C" w:rsidRPr="00947815" w:rsidRDefault="00971956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D145C" w:rsidRPr="00947815" w:rsidTr="00530EEC">
        <w:trPr>
          <w:jc w:val="center"/>
        </w:trPr>
        <w:tc>
          <w:tcPr>
            <w:tcW w:w="1577" w:type="dxa"/>
            <w:vAlign w:val="center"/>
          </w:tcPr>
          <w:p w:rsidR="00CD145C" w:rsidRPr="00947815" w:rsidRDefault="00CD145C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6</w:t>
            </w:r>
          </w:p>
        </w:tc>
        <w:tc>
          <w:tcPr>
            <w:tcW w:w="6540" w:type="dxa"/>
            <w:vAlign w:val="center"/>
          </w:tcPr>
          <w:p w:rsidR="00CD145C" w:rsidRPr="00947815" w:rsidRDefault="00CD145C" w:rsidP="00656E8F">
            <w:pPr>
              <w:spacing w:before="80" w:after="80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References</w:t>
            </w:r>
          </w:p>
        </w:tc>
        <w:tc>
          <w:tcPr>
            <w:tcW w:w="987" w:type="dxa"/>
            <w:vAlign w:val="center"/>
          </w:tcPr>
          <w:p w:rsidR="00CD145C" w:rsidRPr="00947815" w:rsidRDefault="00971956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D145C" w:rsidRPr="00947815" w:rsidTr="00530EEC">
        <w:trPr>
          <w:jc w:val="center"/>
        </w:trPr>
        <w:tc>
          <w:tcPr>
            <w:tcW w:w="1577" w:type="dxa"/>
            <w:vAlign w:val="center"/>
          </w:tcPr>
          <w:p w:rsidR="00CD145C" w:rsidRPr="00947815" w:rsidRDefault="00CD145C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7</w:t>
            </w:r>
          </w:p>
        </w:tc>
        <w:tc>
          <w:tcPr>
            <w:tcW w:w="6540" w:type="dxa"/>
            <w:vAlign w:val="center"/>
          </w:tcPr>
          <w:p w:rsidR="00CD145C" w:rsidRPr="00947815" w:rsidRDefault="00CD145C" w:rsidP="00656E8F">
            <w:pPr>
              <w:spacing w:before="80" w:after="80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Associated Policy and Procedural Documentation</w:t>
            </w:r>
          </w:p>
        </w:tc>
        <w:tc>
          <w:tcPr>
            <w:tcW w:w="987" w:type="dxa"/>
            <w:vAlign w:val="center"/>
          </w:tcPr>
          <w:p w:rsidR="00CD145C" w:rsidRPr="00947815" w:rsidRDefault="00971956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D145C" w:rsidRPr="00947815" w:rsidTr="00656E8F">
        <w:trPr>
          <w:jc w:val="center"/>
        </w:trPr>
        <w:tc>
          <w:tcPr>
            <w:tcW w:w="8117" w:type="dxa"/>
            <w:gridSpan w:val="2"/>
            <w:vAlign w:val="center"/>
          </w:tcPr>
          <w:p w:rsidR="00CD145C" w:rsidRPr="00947815" w:rsidRDefault="00CD145C" w:rsidP="00656E8F">
            <w:pPr>
              <w:rPr>
                <w:rFonts w:ascii="Arial" w:hAnsi="Arial" w:cs="Arial"/>
                <w:b/>
              </w:rPr>
            </w:pPr>
            <w:r w:rsidRPr="00947815">
              <w:rPr>
                <w:rFonts w:ascii="Arial" w:hAnsi="Arial" w:cs="Arial"/>
                <w:b/>
              </w:rPr>
              <w:t>Appendices</w:t>
            </w:r>
            <w:r w:rsidR="00530EEC">
              <w:rPr>
                <w:rFonts w:ascii="Arial" w:hAnsi="Arial" w:cs="Arial"/>
                <w:b/>
              </w:rPr>
              <w:br/>
            </w:r>
          </w:p>
        </w:tc>
        <w:tc>
          <w:tcPr>
            <w:tcW w:w="987" w:type="dxa"/>
            <w:vAlign w:val="center"/>
          </w:tcPr>
          <w:p w:rsidR="00CD145C" w:rsidRPr="00947815" w:rsidRDefault="00CD145C" w:rsidP="00656E8F">
            <w:pPr>
              <w:jc w:val="center"/>
              <w:rPr>
                <w:rFonts w:ascii="Arial" w:hAnsi="Arial" w:cs="Arial"/>
              </w:rPr>
            </w:pPr>
          </w:p>
        </w:tc>
      </w:tr>
      <w:tr w:rsidR="00CD145C" w:rsidRPr="00947815" w:rsidTr="00530EEC">
        <w:trPr>
          <w:jc w:val="center"/>
        </w:trPr>
        <w:tc>
          <w:tcPr>
            <w:tcW w:w="1577" w:type="dxa"/>
            <w:vAlign w:val="center"/>
          </w:tcPr>
          <w:p w:rsidR="00CD145C" w:rsidRPr="00947815" w:rsidRDefault="00CD145C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47815">
              <w:rPr>
                <w:rFonts w:ascii="Arial" w:hAnsi="Arial" w:cs="Arial"/>
              </w:rPr>
              <w:t>Appendix A</w:t>
            </w:r>
          </w:p>
        </w:tc>
        <w:tc>
          <w:tcPr>
            <w:tcW w:w="6540" w:type="dxa"/>
            <w:vAlign w:val="center"/>
          </w:tcPr>
          <w:p w:rsidR="00CD145C" w:rsidRPr="00947815" w:rsidRDefault="00971956" w:rsidP="00656E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Matrix</w:t>
            </w:r>
          </w:p>
        </w:tc>
        <w:tc>
          <w:tcPr>
            <w:tcW w:w="987" w:type="dxa"/>
            <w:vAlign w:val="center"/>
          </w:tcPr>
          <w:p w:rsidR="00CD145C" w:rsidRPr="00947815" w:rsidRDefault="00971956" w:rsidP="00656E8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CD145C" w:rsidRPr="007A1CA7" w:rsidRDefault="00CD145C" w:rsidP="00CD145C">
      <w:pPr>
        <w:rPr>
          <w:rFonts w:ascii="Arial" w:hAnsi="Arial" w:cs="Arial"/>
          <w:sz w:val="28"/>
          <w:szCs w:val="28"/>
        </w:rPr>
      </w:pPr>
    </w:p>
    <w:p w:rsidR="00CD145C" w:rsidRPr="007A1CA7" w:rsidRDefault="00CD145C" w:rsidP="00CD145C">
      <w:pPr>
        <w:rPr>
          <w:rFonts w:ascii="Arial" w:hAnsi="Arial" w:cs="Arial"/>
          <w:sz w:val="28"/>
          <w:szCs w:val="28"/>
        </w:rPr>
      </w:pPr>
    </w:p>
    <w:p w:rsidR="00CD145C" w:rsidRDefault="00CD145C" w:rsidP="00CD145C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  <w:sectPr w:rsidR="00CD145C" w:rsidSect="00656E8F">
          <w:footerReference w:type="default" r:id="rId11"/>
          <w:pgSz w:w="11906" w:h="16838"/>
          <w:pgMar w:top="1440" w:right="1418" w:bottom="1440" w:left="1418" w:header="709" w:footer="709" w:gutter="0"/>
          <w:cols w:space="708"/>
          <w:docGrid w:linePitch="360"/>
        </w:sectPr>
      </w:pPr>
    </w:p>
    <w:p w:rsidR="00CD145C" w:rsidRDefault="00CD145C" w:rsidP="00A26CCE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014440">
        <w:rPr>
          <w:rFonts w:ascii="Arial" w:hAnsi="Arial" w:cs="Arial"/>
          <w:b/>
        </w:rPr>
        <w:lastRenderedPageBreak/>
        <w:t>Policy Statement</w:t>
      </w:r>
    </w:p>
    <w:p w:rsidR="00A63D04" w:rsidRPr="00014440" w:rsidRDefault="00A63D04" w:rsidP="00A26CCE">
      <w:pPr>
        <w:jc w:val="both"/>
        <w:rPr>
          <w:rFonts w:ascii="Arial" w:hAnsi="Arial" w:cs="Arial"/>
          <w:b/>
        </w:rPr>
      </w:pPr>
    </w:p>
    <w:p w:rsidR="004B5D88" w:rsidRDefault="0097056F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Heart of England NHS Foundation Trust </w:t>
      </w:r>
      <w:r w:rsidRPr="002D756F">
        <w:rPr>
          <w:rFonts w:ascii="Arial" w:hAnsi="Arial" w:cs="Arial"/>
        </w:rPr>
        <w:t>(</w:t>
      </w:r>
      <w:r w:rsidR="00122840" w:rsidRPr="002D756F">
        <w:rPr>
          <w:rFonts w:ascii="Arial" w:hAnsi="Arial" w:cs="Arial"/>
        </w:rPr>
        <w:t>the ‘Trust’) is committed to learning from deaths of people in their care in order to improve the quality o</w:t>
      </w:r>
      <w:r w:rsidR="001C6BA0" w:rsidRPr="002D756F">
        <w:rPr>
          <w:rFonts w:ascii="Arial" w:hAnsi="Arial" w:cs="Arial"/>
        </w:rPr>
        <w:t>f care they provide to patients.</w:t>
      </w:r>
    </w:p>
    <w:p w:rsidR="00A26CCE" w:rsidRDefault="00A26CCE" w:rsidP="00A26CCE">
      <w:pPr>
        <w:pStyle w:val="ListParagraph"/>
        <w:rPr>
          <w:rFonts w:ascii="Arial" w:hAnsi="Arial" w:cs="Arial"/>
        </w:rPr>
      </w:pPr>
    </w:p>
    <w:p w:rsidR="00A26CCE" w:rsidRDefault="00A26CCE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A26CCE">
        <w:rPr>
          <w:rFonts w:ascii="Arial" w:hAnsi="Arial" w:cs="Arial"/>
        </w:rPr>
        <w:t xml:space="preserve">policy </w:t>
      </w:r>
      <w:r>
        <w:rPr>
          <w:rFonts w:ascii="Arial" w:hAnsi="Arial" w:cs="Arial"/>
        </w:rPr>
        <w:t xml:space="preserve">and its associated documents </w:t>
      </w:r>
      <w:r w:rsidRPr="00A26CCE">
        <w:rPr>
          <w:rFonts w:ascii="Arial" w:hAnsi="Arial" w:cs="Arial"/>
        </w:rPr>
        <w:t xml:space="preserve">details the requirement for </w:t>
      </w:r>
      <w:r>
        <w:rPr>
          <w:rFonts w:ascii="Arial" w:hAnsi="Arial" w:cs="Arial"/>
        </w:rPr>
        <w:t>Trust</w:t>
      </w:r>
      <w:r w:rsidRPr="00A26CCE">
        <w:rPr>
          <w:rFonts w:ascii="Arial" w:hAnsi="Arial" w:cs="Arial"/>
        </w:rPr>
        <w:t xml:space="preserve"> Medical Examiners and individual clinical specialties to review inpatient deaths in line with national guidance and requirements.</w:t>
      </w:r>
    </w:p>
    <w:p w:rsidR="00A63D04" w:rsidRPr="002D756F" w:rsidRDefault="00A63D04" w:rsidP="00A26CCE">
      <w:pPr>
        <w:jc w:val="both"/>
        <w:rPr>
          <w:rFonts w:ascii="Arial" w:hAnsi="Arial" w:cs="Arial"/>
        </w:rPr>
      </w:pPr>
    </w:p>
    <w:p w:rsidR="00B03295" w:rsidRPr="002D756F" w:rsidRDefault="00B03295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 w:rsidRPr="002D756F">
        <w:rPr>
          <w:rFonts w:ascii="Arial" w:hAnsi="Arial" w:cs="Arial"/>
        </w:rPr>
        <w:t>The key objectives of this policy are</w:t>
      </w:r>
      <w:r w:rsidR="001C6BA0" w:rsidRPr="002D756F">
        <w:rPr>
          <w:rFonts w:ascii="Arial" w:hAnsi="Arial" w:cs="Arial"/>
        </w:rPr>
        <w:t xml:space="preserve"> to</w:t>
      </w:r>
      <w:r w:rsidRPr="002D756F">
        <w:rPr>
          <w:rFonts w:ascii="Arial" w:hAnsi="Arial" w:cs="Arial"/>
        </w:rPr>
        <w:t>:</w:t>
      </w:r>
    </w:p>
    <w:p w:rsidR="00B03295" w:rsidRPr="002D756F" w:rsidRDefault="00B03295" w:rsidP="00A26CCE">
      <w:pPr>
        <w:ind w:left="1418"/>
        <w:jc w:val="both"/>
        <w:rPr>
          <w:rFonts w:ascii="Arial" w:hAnsi="Arial" w:cs="Arial"/>
        </w:rPr>
      </w:pPr>
    </w:p>
    <w:p w:rsidR="00B03295" w:rsidRPr="00014440" w:rsidRDefault="001C6BA0" w:rsidP="00A26CCE">
      <w:pPr>
        <w:numPr>
          <w:ilvl w:val="2"/>
          <w:numId w:val="2"/>
        </w:numPr>
        <w:ind w:hanging="709"/>
        <w:jc w:val="both"/>
        <w:rPr>
          <w:rFonts w:ascii="Arial" w:hAnsi="Arial" w:cs="Arial"/>
        </w:rPr>
      </w:pPr>
      <w:r w:rsidRPr="002D756F">
        <w:rPr>
          <w:rFonts w:ascii="Arial" w:hAnsi="Arial" w:cs="Arial"/>
        </w:rPr>
        <w:t>Set</w:t>
      </w:r>
      <w:r w:rsidR="00B03295" w:rsidRPr="002D756F">
        <w:rPr>
          <w:rFonts w:ascii="Arial" w:hAnsi="Arial" w:cs="Arial"/>
        </w:rPr>
        <w:t xml:space="preserve"> out the framework for the </w:t>
      </w:r>
      <w:r w:rsidRPr="002D756F">
        <w:rPr>
          <w:rFonts w:ascii="Arial" w:hAnsi="Arial" w:cs="Arial"/>
        </w:rPr>
        <w:t>r</w:t>
      </w:r>
      <w:r w:rsidR="00B03295" w:rsidRPr="002D756F">
        <w:rPr>
          <w:rFonts w:ascii="Arial" w:hAnsi="Arial" w:cs="Arial"/>
        </w:rPr>
        <w:t xml:space="preserve">eview of </w:t>
      </w:r>
      <w:r w:rsidRPr="002D756F">
        <w:rPr>
          <w:rFonts w:ascii="Arial" w:hAnsi="Arial" w:cs="Arial"/>
        </w:rPr>
        <w:t>inpatient deaths</w:t>
      </w:r>
      <w:r w:rsidR="00A63D04">
        <w:rPr>
          <w:rFonts w:ascii="Arial" w:hAnsi="Arial" w:cs="Arial"/>
        </w:rPr>
        <w:t>;</w:t>
      </w:r>
    </w:p>
    <w:p w:rsidR="001C6BA0" w:rsidRPr="002D756F" w:rsidRDefault="001C6BA0" w:rsidP="00A26CCE">
      <w:pPr>
        <w:ind w:left="2127"/>
        <w:jc w:val="both"/>
        <w:rPr>
          <w:rFonts w:ascii="Arial" w:hAnsi="Arial" w:cs="Arial"/>
        </w:rPr>
      </w:pPr>
    </w:p>
    <w:p w:rsidR="00B03295" w:rsidRPr="00014440" w:rsidRDefault="001C6BA0" w:rsidP="00A26CCE">
      <w:pPr>
        <w:numPr>
          <w:ilvl w:val="2"/>
          <w:numId w:val="2"/>
        </w:numPr>
        <w:ind w:hanging="709"/>
        <w:jc w:val="both"/>
        <w:rPr>
          <w:rFonts w:ascii="Arial" w:hAnsi="Arial" w:cs="Arial"/>
        </w:rPr>
      </w:pPr>
      <w:r w:rsidRPr="002D756F">
        <w:rPr>
          <w:rFonts w:ascii="Arial" w:hAnsi="Arial" w:cs="Arial"/>
        </w:rPr>
        <w:t>E</w:t>
      </w:r>
      <w:r w:rsidR="00B03295" w:rsidRPr="002D756F">
        <w:rPr>
          <w:rFonts w:ascii="Arial" w:hAnsi="Arial" w:cs="Arial"/>
        </w:rPr>
        <w:t xml:space="preserve">nsure all staff </w:t>
      </w:r>
      <w:r w:rsidRPr="002D756F">
        <w:rPr>
          <w:rFonts w:ascii="Arial" w:hAnsi="Arial" w:cs="Arial"/>
        </w:rPr>
        <w:t>understand</w:t>
      </w:r>
      <w:r w:rsidR="00B03295" w:rsidRPr="002D756F">
        <w:rPr>
          <w:rFonts w:ascii="Arial" w:hAnsi="Arial" w:cs="Arial"/>
        </w:rPr>
        <w:t xml:space="preserve"> their roles and responsibilities in connection with the policy</w:t>
      </w:r>
      <w:r w:rsidR="00A63D04">
        <w:rPr>
          <w:rFonts w:ascii="Arial" w:hAnsi="Arial" w:cs="Arial"/>
        </w:rPr>
        <w:t>; and</w:t>
      </w:r>
    </w:p>
    <w:p w:rsidR="00B03295" w:rsidRPr="002D756F" w:rsidRDefault="00B03295" w:rsidP="00A26CCE">
      <w:pPr>
        <w:ind w:left="2127"/>
        <w:jc w:val="both"/>
        <w:rPr>
          <w:rFonts w:ascii="Arial" w:hAnsi="Arial" w:cs="Arial"/>
        </w:rPr>
      </w:pPr>
    </w:p>
    <w:p w:rsidR="00B03295" w:rsidRPr="002D756F" w:rsidRDefault="001C6BA0" w:rsidP="00A26CCE">
      <w:pPr>
        <w:numPr>
          <w:ilvl w:val="2"/>
          <w:numId w:val="2"/>
        </w:numPr>
        <w:ind w:hanging="709"/>
        <w:jc w:val="both"/>
        <w:rPr>
          <w:rFonts w:ascii="Arial" w:hAnsi="Arial" w:cs="Arial"/>
        </w:rPr>
      </w:pPr>
      <w:r w:rsidRPr="002D756F">
        <w:rPr>
          <w:rFonts w:ascii="Arial" w:hAnsi="Arial" w:cs="Arial"/>
        </w:rPr>
        <w:t>E</w:t>
      </w:r>
      <w:r w:rsidR="00B03295" w:rsidRPr="002D756F">
        <w:rPr>
          <w:rFonts w:ascii="Arial" w:hAnsi="Arial" w:cs="Arial"/>
        </w:rPr>
        <w:t>nsure compliance with national policy and guidance related to the review of inpatient deaths.</w:t>
      </w:r>
    </w:p>
    <w:p w:rsidR="00CD145C" w:rsidRPr="002D756F" w:rsidRDefault="00CD145C" w:rsidP="00A26CCE">
      <w:pPr>
        <w:jc w:val="both"/>
        <w:rPr>
          <w:rFonts w:ascii="Arial" w:hAnsi="Arial" w:cs="Arial"/>
        </w:rPr>
      </w:pPr>
    </w:p>
    <w:p w:rsidR="00CD145C" w:rsidRDefault="00CD145C" w:rsidP="00A26CCE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2D756F">
        <w:rPr>
          <w:rFonts w:ascii="Arial" w:hAnsi="Arial" w:cs="Arial"/>
          <w:b/>
        </w:rPr>
        <w:t>Scope</w:t>
      </w:r>
    </w:p>
    <w:p w:rsidR="00A63D04" w:rsidRPr="00014440" w:rsidRDefault="00A63D04" w:rsidP="00A26CCE">
      <w:pPr>
        <w:ind w:left="709"/>
        <w:jc w:val="both"/>
        <w:rPr>
          <w:rFonts w:ascii="Arial" w:hAnsi="Arial" w:cs="Arial"/>
          <w:b/>
        </w:rPr>
      </w:pPr>
    </w:p>
    <w:p w:rsidR="00B03295" w:rsidRPr="002D756F" w:rsidRDefault="00CD145C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  <w:u w:val="single"/>
        </w:rPr>
      </w:pPr>
      <w:r w:rsidRPr="00014440">
        <w:rPr>
          <w:rFonts w:ascii="Arial" w:hAnsi="Arial" w:cs="Arial"/>
        </w:rPr>
        <w:t>This policy applies to all areas and</w:t>
      </w:r>
      <w:r w:rsidRPr="002D756F">
        <w:rPr>
          <w:rFonts w:ascii="Arial" w:hAnsi="Arial" w:cs="Arial"/>
        </w:rPr>
        <w:t xml:space="preserve"> activities of the Trust and to all individuals employed by the Trust including contractors, volunteers, students, locum and agency staff and staff employed on honorary contracts. </w:t>
      </w:r>
      <w:r w:rsidR="00B03295" w:rsidRPr="002D756F">
        <w:rPr>
          <w:rFonts w:ascii="Arial" w:hAnsi="Arial" w:cs="Arial"/>
          <w:u w:val="single"/>
        </w:rPr>
        <w:br/>
      </w:r>
    </w:p>
    <w:p w:rsidR="00B03295" w:rsidRPr="002D756F" w:rsidRDefault="00B03295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 w:rsidRPr="002D756F">
        <w:rPr>
          <w:rFonts w:ascii="Arial" w:hAnsi="Arial" w:cs="Arial"/>
        </w:rPr>
        <w:t xml:space="preserve">The policy applies </w:t>
      </w:r>
      <w:r w:rsidR="001C6BA0" w:rsidRPr="002D756F">
        <w:rPr>
          <w:rFonts w:ascii="Arial" w:hAnsi="Arial" w:cs="Arial"/>
        </w:rPr>
        <w:t>to</w:t>
      </w:r>
      <w:r w:rsidRPr="002D756F">
        <w:rPr>
          <w:rFonts w:ascii="Arial" w:hAnsi="Arial" w:cs="Arial"/>
        </w:rPr>
        <w:t xml:space="preserve"> patients who die whilst in the care of the Trust</w:t>
      </w:r>
      <w:r w:rsidR="000838F0" w:rsidRPr="002D756F">
        <w:rPr>
          <w:rFonts w:ascii="Arial" w:hAnsi="Arial" w:cs="Arial"/>
        </w:rPr>
        <w:t xml:space="preserve"> as outlined in the associated procedural document.</w:t>
      </w:r>
    </w:p>
    <w:p w:rsidR="00CD145C" w:rsidRPr="002D756F" w:rsidRDefault="00CD145C" w:rsidP="00A26CCE">
      <w:pPr>
        <w:ind w:left="414" w:firstLine="720"/>
        <w:jc w:val="both"/>
        <w:rPr>
          <w:rFonts w:ascii="Arial" w:hAnsi="Arial" w:cs="Arial"/>
        </w:rPr>
      </w:pPr>
    </w:p>
    <w:p w:rsidR="00CD145C" w:rsidRDefault="00CD145C" w:rsidP="00A26CCE">
      <w:pPr>
        <w:numPr>
          <w:ilvl w:val="0"/>
          <w:numId w:val="2"/>
        </w:numPr>
        <w:tabs>
          <w:tab w:val="clear" w:pos="1276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2D756F">
        <w:rPr>
          <w:rFonts w:ascii="Arial" w:hAnsi="Arial" w:cs="Arial"/>
          <w:b/>
        </w:rPr>
        <w:t>Framework</w:t>
      </w:r>
    </w:p>
    <w:p w:rsidR="00A63D04" w:rsidRPr="00014440" w:rsidRDefault="00A63D04" w:rsidP="00A26CCE">
      <w:pPr>
        <w:ind w:left="709"/>
        <w:jc w:val="both"/>
        <w:rPr>
          <w:rFonts w:ascii="Arial" w:hAnsi="Arial" w:cs="Arial"/>
          <w:b/>
        </w:rPr>
      </w:pPr>
    </w:p>
    <w:p w:rsidR="00CD145C" w:rsidRDefault="00CD145C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 w:rsidRPr="00014440">
        <w:rPr>
          <w:rFonts w:ascii="Arial" w:hAnsi="Arial" w:cs="Arial"/>
        </w:rPr>
        <w:t xml:space="preserve">This section describes the broad framework for the </w:t>
      </w:r>
      <w:r w:rsidR="00C15BE0" w:rsidRPr="002D756F">
        <w:rPr>
          <w:rFonts w:ascii="Arial" w:hAnsi="Arial" w:cs="Arial"/>
        </w:rPr>
        <w:t>review of inpatient deaths</w:t>
      </w:r>
      <w:r w:rsidRPr="002D756F">
        <w:rPr>
          <w:rFonts w:ascii="Arial" w:hAnsi="Arial" w:cs="Arial"/>
        </w:rPr>
        <w:t>. Detailed instructions are provided in the associated procedural document.</w:t>
      </w:r>
    </w:p>
    <w:p w:rsidR="00A63D04" w:rsidRPr="00014440" w:rsidRDefault="00A63D04" w:rsidP="00A26CCE">
      <w:pPr>
        <w:ind w:left="1418"/>
        <w:jc w:val="both"/>
        <w:rPr>
          <w:rFonts w:ascii="Arial" w:hAnsi="Arial" w:cs="Arial"/>
        </w:rPr>
      </w:pPr>
    </w:p>
    <w:p w:rsidR="00014440" w:rsidRPr="00014440" w:rsidRDefault="00014440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Medical Director </w:t>
      </w:r>
      <w:r w:rsidRPr="00014440">
        <w:rPr>
          <w:rFonts w:ascii="Arial" w:hAnsi="Arial" w:cs="Arial"/>
        </w:rPr>
        <w:t>shall approve all procedural documents associated with this policy, and any amendments to such documents, and is responsible for ensuring that such documents are compliant with this policy.</w:t>
      </w:r>
    </w:p>
    <w:p w:rsidR="00014440" w:rsidRDefault="00014440" w:rsidP="00A26CCE">
      <w:pPr>
        <w:pStyle w:val="ListParagraph"/>
        <w:rPr>
          <w:rFonts w:ascii="Arial" w:hAnsi="Arial" w:cs="Arial"/>
        </w:rPr>
      </w:pPr>
    </w:p>
    <w:p w:rsidR="00014440" w:rsidRDefault="00014440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 w:rsidRPr="00014440">
        <w:rPr>
          <w:rFonts w:ascii="Arial" w:hAnsi="Arial" w:cs="Arial"/>
        </w:rPr>
        <w:t>The Trust will ensure that all relevant inpatient deaths are subject to clinical review and outcomes of these reviews are used for l</w:t>
      </w:r>
      <w:r w:rsidR="002D756F">
        <w:rPr>
          <w:rFonts w:ascii="Arial" w:hAnsi="Arial" w:cs="Arial"/>
        </w:rPr>
        <w:t>earning and quality improvement by ensuring that</w:t>
      </w:r>
      <w:r w:rsidR="00A26CCE">
        <w:rPr>
          <w:rFonts w:ascii="Arial" w:hAnsi="Arial" w:cs="Arial"/>
        </w:rPr>
        <w:t xml:space="preserve"> all </w:t>
      </w:r>
      <w:r w:rsidR="00A26CCE" w:rsidRPr="00014440">
        <w:rPr>
          <w:rFonts w:ascii="Arial" w:hAnsi="Arial" w:cs="Arial"/>
        </w:rPr>
        <w:t xml:space="preserve">inpatient deaths that fit </w:t>
      </w:r>
      <w:r w:rsidR="00773CB7">
        <w:rPr>
          <w:rFonts w:ascii="Arial" w:hAnsi="Arial" w:cs="Arial"/>
        </w:rPr>
        <w:t>the</w:t>
      </w:r>
      <w:r w:rsidR="00773CB7" w:rsidRPr="00014440">
        <w:rPr>
          <w:rFonts w:ascii="Arial" w:hAnsi="Arial" w:cs="Arial"/>
        </w:rPr>
        <w:t xml:space="preserve"> </w:t>
      </w:r>
      <w:r w:rsidR="00A26CCE" w:rsidRPr="00014440">
        <w:rPr>
          <w:rFonts w:ascii="Arial" w:hAnsi="Arial" w:cs="Arial"/>
        </w:rPr>
        <w:t>pr</w:t>
      </w:r>
      <w:r w:rsidR="00A26CCE" w:rsidRPr="002D756F">
        <w:rPr>
          <w:rFonts w:ascii="Arial" w:hAnsi="Arial" w:cs="Arial"/>
        </w:rPr>
        <w:t xml:space="preserve">e-defined </w:t>
      </w:r>
      <w:r w:rsidR="00773CB7">
        <w:rPr>
          <w:rFonts w:ascii="Arial" w:hAnsi="Arial" w:cs="Arial"/>
        </w:rPr>
        <w:t>selection criteria (as detailed in the associated procedure)</w:t>
      </w:r>
      <w:r w:rsidR="00A26CCE" w:rsidRPr="002D756F">
        <w:rPr>
          <w:rFonts w:ascii="Arial" w:hAnsi="Arial" w:cs="Arial"/>
        </w:rPr>
        <w:t xml:space="preserve"> will be subject to a </w:t>
      </w:r>
      <w:r w:rsidR="00A26CCE">
        <w:rPr>
          <w:rFonts w:ascii="Arial" w:hAnsi="Arial" w:cs="Arial"/>
        </w:rPr>
        <w:t>S</w:t>
      </w:r>
      <w:r w:rsidR="00A26CCE" w:rsidRPr="002D756F">
        <w:rPr>
          <w:rFonts w:ascii="Arial" w:hAnsi="Arial" w:cs="Arial"/>
        </w:rPr>
        <w:t xml:space="preserve">tage 1 review by </w:t>
      </w:r>
      <w:r w:rsidR="00A26CCE">
        <w:rPr>
          <w:rFonts w:ascii="Arial" w:hAnsi="Arial" w:cs="Arial"/>
        </w:rPr>
        <w:t>a</w:t>
      </w:r>
      <w:r w:rsidR="00A26CCE" w:rsidRPr="002D756F">
        <w:rPr>
          <w:rFonts w:ascii="Arial" w:hAnsi="Arial" w:cs="Arial"/>
        </w:rPr>
        <w:t xml:space="preserve"> Medical Examiner</w:t>
      </w:r>
      <w:r w:rsidR="00A26CCE">
        <w:rPr>
          <w:rFonts w:ascii="Arial" w:hAnsi="Arial" w:cs="Arial"/>
        </w:rPr>
        <w:t>.</w:t>
      </w:r>
    </w:p>
    <w:p w:rsidR="00A26CCE" w:rsidRDefault="00A26CCE" w:rsidP="00A26CCE">
      <w:pPr>
        <w:pStyle w:val="ListParagraph"/>
        <w:rPr>
          <w:rFonts w:ascii="Arial" w:hAnsi="Arial" w:cs="Arial"/>
        </w:rPr>
      </w:pPr>
    </w:p>
    <w:p w:rsidR="00A26CCE" w:rsidRDefault="00A26CCE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 </w:t>
      </w:r>
      <w:r w:rsidRPr="00014440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>which</w:t>
      </w:r>
      <w:r w:rsidRPr="00014440">
        <w:rPr>
          <w:rFonts w:ascii="Arial" w:hAnsi="Arial" w:cs="Arial"/>
        </w:rPr>
        <w:t xml:space="preserve"> meet the escalation criteria will require escalation for</w:t>
      </w:r>
      <w:r w:rsidRPr="002D756F">
        <w:rPr>
          <w:rFonts w:ascii="Arial" w:hAnsi="Arial" w:cs="Arial"/>
        </w:rPr>
        <w:t xml:space="preserve"> specialty M</w:t>
      </w:r>
      <w:r w:rsidR="00773CB7">
        <w:rPr>
          <w:rFonts w:ascii="Arial" w:hAnsi="Arial" w:cs="Arial"/>
        </w:rPr>
        <w:t>ortality</w:t>
      </w:r>
      <w:r>
        <w:rPr>
          <w:rFonts w:ascii="Arial" w:hAnsi="Arial" w:cs="Arial"/>
        </w:rPr>
        <w:t xml:space="preserve"> and </w:t>
      </w:r>
      <w:r w:rsidRPr="002D756F">
        <w:rPr>
          <w:rFonts w:ascii="Arial" w:hAnsi="Arial" w:cs="Arial"/>
        </w:rPr>
        <w:t>M</w:t>
      </w:r>
      <w:r w:rsidR="00773CB7">
        <w:rPr>
          <w:rFonts w:ascii="Arial" w:hAnsi="Arial" w:cs="Arial"/>
        </w:rPr>
        <w:t>orbidity</w:t>
      </w:r>
      <w:r w:rsidRPr="002D756F">
        <w:rPr>
          <w:rFonts w:ascii="Arial" w:hAnsi="Arial" w:cs="Arial"/>
        </w:rPr>
        <w:t xml:space="preserve"> review.</w:t>
      </w:r>
      <w:r>
        <w:rPr>
          <w:rFonts w:ascii="Arial" w:hAnsi="Arial" w:cs="Arial"/>
        </w:rPr>
        <w:t xml:space="preserve">  </w:t>
      </w:r>
      <w:r w:rsidRPr="00014440">
        <w:rPr>
          <w:rFonts w:ascii="Arial" w:hAnsi="Arial" w:cs="Arial"/>
        </w:rPr>
        <w:t xml:space="preserve">The outcomes of all cases escalated for further review </w:t>
      </w:r>
      <w:r>
        <w:rPr>
          <w:rFonts w:ascii="Arial" w:hAnsi="Arial" w:cs="Arial"/>
        </w:rPr>
        <w:t>will be</w:t>
      </w:r>
      <w:r w:rsidRPr="002D756F">
        <w:rPr>
          <w:rFonts w:ascii="Arial" w:hAnsi="Arial" w:cs="Arial"/>
        </w:rPr>
        <w:t xml:space="preserve"> presented to the Trust Executive</w:t>
      </w:r>
      <w:r>
        <w:rPr>
          <w:rFonts w:ascii="Arial" w:hAnsi="Arial" w:cs="Arial"/>
        </w:rPr>
        <w:t xml:space="preserve"> </w:t>
      </w:r>
      <w:r w:rsidRPr="002D756F">
        <w:rPr>
          <w:rFonts w:ascii="Arial" w:hAnsi="Arial" w:cs="Arial"/>
        </w:rPr>
        <w:t>led Clinical Quality Monitoring Group (CQMG) for final review</w:t>
      </w:r>
      <w:r>
        <w:rPr>
          <w:rFonts w:ascii="Arial" w:hAnsi="Arial" w:cs="Arial"/>
        </w:rPr>
        <w:t>.</w:t>
      </w:r>
    </w:p>
    <w:p w:rsidR="00A26CCE" w:rsidRDefault="00A26CCE" w:rsidP="00A26CCE">
      <w:pPr>
        <w:pStyle w:val="ListParagraph"/>
        <w:rPr>
          <w:rFonts w:ascii="Arial" w:hAnsi="Arial" w:cs="Arial"/>
        </w:rPr>
      </w:pPr>
    </w:p>
    <w:p w:rsidR="00A26CCE" w:rsidRPr="00014440" w:rsidRDefault="00A26CCE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CQMG </w:t>
      </w:r>
      <w:r w:rsidRPr="00A26CCE">
        <w:rPr>
          <w:rFonts w:ascii="Arial" w:hAnsi="Arial" w:cs="Arial"/>
        </w:rPr>
        <w:t xml:space="preserve">will review and decide which cases justify further review or independent investigation in line with the associated </w:t>
      </w:r>
      <w:r w:rsidRPr="00A63D04">
        <w:rPr>
          <w:rFonts w:ascii="Arial" w:hAnsi="Arial" w:cs="Arial"/>
        </w:rPr>
        <w:t>Policy for the Reporting and Management of Incidents including Serious Incidents</w:t>
      </w:r>
      <w:r>
        <w:rPr>
          <w:rFonts w:ascii="Arial" w:hAnsi="Arial" w:cs="Arial"/>
        </w:rPr>
        <w:t>.</w:t>
      </w:r>
    </w:p>
    <w:p w:rsidR="003D5870" w:rsidRPr="002D756F" w:rsidRDefault="003D5870" w:rsidP="00A26CCE">
      <w:pPr>
        <w:ind w:left="1134"/>
        <w:jc w:val="both"/>
        <w:rPr>
          <w:rFonts w:ascii="Arial" w:hAnsi="Arial" w:cs="Arial"/>
        </w:rPr>
      </w:pPr>
    </w:p>
    <w:p w:rsidR="00CD145C" w:rsidRPr="002D756F" w:rsidRDefault="00CD145C" w:rsidP="00A26CCE">
      <w:pPr>
        <w:numPr>
          <w:ilvl w:val="0"/>
          <w:numId w:val="2"/>
        </w:numPr>
        <w:tabs>
          <w:tab w:val="clear" w:pos="1276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2D756F">
        <w:rPr>
          <w:rFonts w:ascii="Arial" w:hAnsi="Arial" w:cs="Arial"/>
          <w:b/>
        </w:rPr>
        <w:t>Duties</w:t>
      </w:r>
      <w:r w:rsidR="00F356EA" w:rsidRPr="002D756F">
        <w:rPr>
          <w:rFonts w:ascii="Arial" w:hAnsi="Arial" w:cs="Arial"/>
          <w:b/>
        </w:rPr>
        <w:br/>
      </w:r>
    </w:p>
    <w:p w:rsidR="00A63D04" w:rsidRDefault="00CD145C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  <w:b/>
          <w:bCs/>
        </w:rPr>
      </w:pPr>
      <w:r w:rsidRPr="002D756F">
        <w:rPr>
          <w:rFonts w:ascii="Arial" w:hAnsi="Arial" w:cs="Arial"/>
          <w:b/>
          <w:bCs/>
        </w:rPr>
        <w:t xml:space="preserve">Executive </w:t>
      </w:r>
      <w:r w:rsidR="007012F1" w:rsidRPr="002D756F">
        <w:rPr>
          <w:rFonts w:ascii="Arial" w:hAnsi="Arial" w:cs="Arial"/>
          <w:b/>
          <w:bCs/>
        </w:rPr>
        <w:t>Medical Director</w:t>
      </w:r>
    </w:p>
    <w:p w:rsidR="00CD145C" w:rsidRDefault="007012F1" w:rsidP="00A26CCE">
      <w:pPr>
        <w:pStyle w:val="ListParagraph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</w:rPr>
      </w:pPr>
      <w:r w:rsidRPr="002D756F">
        <w:rPr>
          <w:rFonts w:ascii="Arial" w:hAnsi="Arial" w:cs="Arial"/>
          <w:b/>
          <w:bCs/>
        </w:rPr>
        <w:br/>
      </w:r>
      <w:r w:rsidR="00774E1C" w:rsidRPr="002D756F">
        <w:rPr>
          <w:rFonts w:ascii="Arial" w:hAnsi="Arial" w:cs="Arial"/>
          <w:bCs/>
        </w:rPr>
        <w:t>The E</w:t>
      </w:r>
      <w:r w:rsidRPr="002D756F">
        <w:rPr>
          <w:rFonts w:ascii="Arial" w:hAnsi="Arial" w:cs="Arial"/>
          <w:bCs/>
        </w:rPr>
        <w:t xml:space="preserve">xecutive Medical Director </w:t>
      </w:r>
      <w:r w:rsidR="00A46231" w:rsidRPr="002D756F">
        <w:rPr>
          <w:rFonts w:ascii="Arial" w:hAnsi="Arial" w:cs="Arial"/>
          <w:bCs/>
        </w:rPr>
        <w:t>is responsible for</w:t>
      </w:r>
      <w:r w:rsidRPr="002D756F">
        <w:rPr>
          <w:rFonts w:ascii="Arial" w:hAnsi="Arial" w:cs="Arial"/>
          <w:bCs/>
        </w:rPr>
        <w:t>:</w:t>
      </w:r>
    </w:p>
    <w:p w:rsidR="00014440" w:rsidRPr="00014440" w:rsidRDefault="00014440" w:rsidP="00A26C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76F95" w:rsidRDefault="00A46231" w:rsidP="00A26CCE">
      <w:pPr>
        <w:numPr>
          <w:ilvl w:val="2"/>
          <w:numId w:val="2"/>
        </w:numPr>
        <w:ind w:hanging="709"/>
        <w:jc w:val="both"/>
        <w:rPr>
          <w:rFonts w:ascii="Arial" w:hAnsi="Arial" w:cs="Arial"/>
          <w:bCs/>
        </w:rPr>
      </w:pPr>
      <w:r w:rsidRPr="002D756F">
        <w:rPr>
          <w:rFonts w:ascii="Arial" w:hAnsi="Arial" w:cs="Arial"/>
          <w:bCs/>
        </w:rPr>
        <w:t>Overseeing</w:t>
      </w:r>
      <w:r w:rsidR="00676F95" w:rsidRPr="002D756F">
        <w:rPr>
          <w:rFonts w:ascii="Arial" w:hAnsi="Arial" w:cs="Arial"/>
          <w:bCs/>
        </w:rPr>
        <w:t xml:space="preserve"> </w:t>
      </w:r>
      <w:r w:rsidR="00774E1C" w:rsidRPr="002D756F">
        <w:rPr>
          <w:rFonts w:ascii="Arial" w:hAnsi="Arial" w:cs="Arial"/>
          <w:bCs/>
        </w:rPr>
        <w:t>the</w:t>
      </w:r>
      <w:r w:rsidR="00F356EA" w:rsidRPr="002D756F">
        <w:rPr>
          <w:rFonts w:ascii="Arial" w:hAnsi="Arial" w:cs="Arial"/>
          <w:bCs/>
        </w:rPr>
        <w:t xml:space="preserve"> implementation</w:t>
      </w:r>
      <w:r w:rsidR="00774E1C" w:rsidRPr="002D756F">
        <w:rPr>
          <w:rFonts w:ascii="Arial" w:hAnsi="Arial" w:cs="Arial"/>
          <w:bCs/>
        </w:rPr>
        <w:t xml:space="preserve"> of this policy and its associated procedure</w:t>
      </w:r>
      <w:r w:rsidR="00AB0A25">
        <w:rPr>
          <w:rFonts w:ascii="Arial" w:hAnsi="Arial" w:cs="Arial"/>
          <w:bCs/>
        </w:rPr>
        <w:t xml:space="preserve">; </w:t>
      </w:r>
    </w:p>
    <w:p w:rsidR="00AB0A25" w:rsidRDefault="00AB0A25" w:rsidP="00124F6D">
      <w:pPr>
        <w:ind w:left="2127"/>
        <w:jc w:val="both"/>
        <w:rPr>
          <w:rFonts w:ascii="Arial" w:hAnsi="Arial" w:cs="Arial"/>
          <w:bCs/>
        </w:rPr>
      </w:pPr>
    </w:p>
    <w:p w:rsidR="00AB0A25" w:rsidRDefault="00124F6D" w:rsidP="00A26CCE">
      <w:pPr>
        <w:numPr>
          <w:ilvl w:val="2"/>
          <w:numId w:val="2"/>
        </w:numPr>
        <w:ind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AB0A25">
        <w:rPr>
          <w:rFonts w:ascii="Arial" w:hAnsi="Arial" w:cs="Arial"/>
          <w:bCs/>
        </w:rPr>
        <w:t>uthorising independent formal investigations of relevant inpatient deaths; and</w:t>
      </w:r>
    </w:p>
    <w:p w:rsidR="00014440" w:rsidRPr="00014440" w:rsidRDefault="00014440" w:rsidP="00A26CCE">
      <w:pPr>
        <w:ind w:left="2127"/>
        <w:jc w:val="both"/>
        <w:rPr>
          <w:rFonts w:ascii="Arial" w:hAnsi="Arial" w:cs="Arial"/>
          <w:bCs/>
        </w:rPr>
      </w:pPr>
    </w:p>
    <w:p w:rsidR="00014440" w:rsidRDefault="007012F1" w:rsidP="00A26CCE">
      <w:pPr>
        <w:numPr>
          <w:ilvl w:val="2"/>
          <w:numId w:val="2"/>
        </w:numPr>
        <w:autoSpaceDE w:val="0"/>
        <w:autoSpaceDN w:val="0"/>
        <w:adjustRightInd w:val="0"/>
        <w:ind w:hanging="709"/>
        <w:jc w:val="both"/>
        <w:rPr>
          <w:rFonts w:ascii="Arial" w:hAnsi="Arial" w:cs="Arial"/>
        </w:rPr>
      </w:pPr>
      <w:r w:rsidRPr="002D756F">
        <w:rPr>
          <w:rFonts w:ascii="Arial" w:hAnsi="Arial" w:cs="Arial"/>
          <w:bCs/>
        </w:rPr>
        <w:t>Receiv</w:t>
      </w:r>
      <w:r w:rsidR="00A26CCE">
        <w:rPr>
          <w:rFonts w:ascii="Arial" w:hAnsi="Arial" w:cs="Arial"/>
          <w:bCs/>
        </w:rPr>
        <w:t>e</w:t>
      </w:r>
      <w:r w:rsidRPr="002D756F">
        <w:rPr>
          <w:rFonts w:ascii="Arial" w:hAnsi="Arial" w:cs="Arial"/>
          <w:bCs/>
        </w:rPr>
        <w:t xml:space="preserve"> exception reports from </w:t>
      </w:r>
      <w:r w:rsidR="00A26CCE">
        <w:rPr>
          <w:rFonts w:ascii="Arial" w:hAnsi="Arial" w:cs="Arial"/>
          <w:bCs/>
        </w:rPr>
        <w:t>M</w:t>
      </w:r>
      <w:r w:rsidRPr="002D756F">
        <w:rPr>
          <w:rFonts w:ascii="Arial" w:hAnsi="Arial" w:cs="Arial"/>
          <w:bCs/>
        </w:rPr>
        <w:t xml:space="preserve">edical </w:t>
      </w:r>
      <w:r w:rsidR="00A26CCE">
        <w:rPr>
          <w:rFonts w:ascii="Arial" w:hAnsi="Arial" w:cs="Arial"/>
          <w:bCs/>
        </w:rPr>
        <w:t>E</w:t>
      </w:r>
      <w:r w:rsidRPr="002D756F">
        <w:rPr>
          <w:rFonts w:ascii="Arial" w:hAnsi="Arial" w:cs="Arial"/>
          <w:bCs/>
        </w:rPr>
        <w:t>xaminers when their initia</w:t>
      </w:r>
      <w:r w:rsidR="00676F95" w:rsidRPr="002D756F">
        <w:rPr>
          <w:rFonts w:ascii="Arial" w:hAnsi="Arial" w:cs="Arial"/>
          <w:bCs/>
        </w:rPr>
        <w:t>l</w:t>
      </w:r>
      <w:r w:rsidR="00E13A95" w:rsidRPr="002D756F">
        <w:rPr>
          <w:rFonts w:ascii="Arial" w:hAnsi="Arial" w:cs="Arial"/>
          <w:bCs/>
        </w:rPr>
        <w:t xml:space="preserve"> s</w:t>
      </w:r>
      <w:r w:rsidRPr="002D756F">
        <w:rPr>
          <w:rFonts w:ascii="Arial" w:hAnsi="Arial" w:cs="Arial"/>
        </w:rPr>
        <w:t>crutiny of care triggers the requirement for further investigation</w:t>
      </w:r>
      <w:r w:rsidR="00676F95" w:rsidRPr="002D756F">
        <w:rPr>
          <w:rFonts w:ascii="Arial" w:hAnsi="Arial" w:cs="Arial"/>
        </w:rPr>
        <w:t>.</w:t>
      </w:r>
    </w:p>
    <w:p w:rsidR="00774E1C" w:rsidRPr="002D756F" w:rsidRDefault="00774E1C" w:rsidP="00A26C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3D04" w:rsidRPr="00A26CCE" w:rsidRDefault="0064734B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 w:rsidRPr="002D756F">
        <w:rPr>
          <w:rFonts w:ascii="Arial" w:hAnsi="Arial" w:cs="Arial"/>
          <w:b/>
        </w:rPr>
        <w:t>Divisional D</w:t>
      </w:r>
      <w:r w:rsidR="00014440">
        <w:rPr>
          <w:rFonts w:ascii="Arial" w:hAnsi="Arial" w:cs="Arial"/>
          <w:b/>
        </w:rPr>
        <w:t>i</w:t>
      </w:r>
      <w:r w:rsidRPr="002D756F">
        <w:rPr>
          <w:rFonts w:ascii="Arial" w:hAnsi="Arial" w:cs="Arial"/>
          <w:b/>
        </w:rPr>
        <w:t>rectors</w:t>
      </w:r>
      <w:r w:rsidR="00917FB9" w:rsidRPr="002D756F">
        <w:rPr>
          <w:rFonts w:ascii="Arial" w:hAnsi="Arial" w:cs="Arial"/>
          <w:b/>
        </w:rPr>
        <w:t xml:space="preserve">, </w:t>
      </w:r>
      <w:r w:rsidR="00E479F1">
        <w:rPr>
          <w:rFonts w:ascii="Arial" w:hAnsi="Arial" w:cs="Arial"/>
          <w:b/>
        </w:rPr>
        <w:t>Heads of Operations</w:t>
      </w:r>
      <w:r w:rsidR="00917FB9" w:rsidRPr="002D756F">
        <w:rPr>
          <w:rFonts w:ascii="Arial" w:hAnsi="Arial" w:cs="Arial"/>
          <w:b/>
        </w:rPr>
        <w:t xml:space="preserve">, </w:t>
      </w:r>
      <w:r w:rsidRPr="002D756F">
        <w:rPr>
          <w:rFonts w:ascii="Arial" w:hAnsi="Arial" w:cs="Arial"/>
          <w:b/>
        </w:rPr>
        <w:t xml:space="preserve">and </w:t>
      </w:r>
      <w:r w:rsidR="0097056F">
        <w:rPr>
          <w:rFonts w:ascii="Arial" w:hAnsi="Arial" w:cs="Arial"/>
          <w:b/>
        </w:rPr>
        <w:t>Clinical Directors</w:t>
      </w:r>
    </w:p>
    <w:p w:rsidR="00014440" w:rsidRDefault="00774E1C" w:rsidP="00A26CCE">
      <w:pPr>
        <w:ind w:left="1418"/>
        <w:jc w:val="both"/>
        <w:rPr>
          <w:rFonts w:ascii="Arial" w:hAnsi="Arial" w:cs="Arial"/>
        </w:rPr>
      </w:pPr>
      <w:r w:rsidRPr="002D756F">
        <w:rPr>
          <w:rFonts w:ascii="Arial" w:hAnsi="Arial" w:cs="Arial"/>
          <w:b/>
        </w:rPr>
        <w:br/>
      </w:r>
      <w:r w:rsidR="0064734B" w:rsidRPr="00644360">
        <w:rPr>
          <w:rFonts w:ascii="Arial" w:hAnsi="Arial" w:cs="Arial"/>
        </w:rPr>
        <w:t xml:space="preserve">Divisional Directors and </w:t>
      </w:r>
      <w:r w:rsidR="0097056F" w:rsidRPr="00644360">
        <w:rPr>
          <w:rFonts w:ascii="Arial" w:hAnsi="Arial" w:cs="Arial"/>
        </w:rPr>
        <w:t>Clinical Directors</w:t>
      </w:r>
      <w:r w:rsidR="0097056F" w:rsidRPr="00644360" w:rsidDel="0097056F">
        <w:rPr>
          <w:rFonts w:ascii="Arial" w:hAnsi="Arial" w:cs="Arial"/>
        </w:rPr>
        <w:t xml:space="preserve"> </w:t>
      </w:r>
      <w:r w:rsidR="0064734B" w:rsidRPr="00644360">
        <w:rPr>
          <w:rFonts w:ascii="Arial" w:hAnsi="Arial" w:cs="Arial"/>
        </w:rPr>
        <w:t>will</w:t>
      </w:r>
      <w:r w:rsidR="0064734B" w:rsidRPr="002D756F">
        <w:rPr>
          <w:rFonts w:ascii="Arial" w:hAnsi="Arial" w:cs="Arial"/>
        </w:rPr>
        <w:t>:</w:t>
      </w:r>
    </w:p>
    <w:p w:rsidR="00676F95" w:rsidRPr="002D756F" w:rsidRDefault="00676F95" w:rsidP="00A26CCE">
      <w:pPr>
        <w:ind w:left="1418"/>
        <w:jc w:val="both"/>
        <w:rPr>
          <w:rFonts w:ascii="Arial" w:hAnsi="Arial" w:cs="Arial"/>
        </w:rPr>
      </w:pPr>
    </w:p>
    <w:p w:rsidR="00774E1C" w:rsidRPr="002D756F" w:rsidRDefault="0064734B" w:rsidP="00A26CCE">
      <w:pPr>
        <w:numPr>
          <w:ilvl w:val="2"/>
          <w:numId w:val="2"/>
        </w:numPr>
        <w:autoSpaceDE w:val="0"/>
        <w:autoSpaceDN w:val="0"/>
        <w:adjustRightInd w:val="0"/>
        <w:ind w:hanging="709"/>
        <w:jc w:val="both"/>
        <w:rPr>
          <w:rFonts w:ascii="Arial" w:hAnsi="Arial" w:cs="Arial"/>
        </w:rPr>
      </w:pPr>
      <w:r w:rsidRPr="002D756F">
        <w:rPr>
          <w:rFonts w:ascii="Arial" w:hAnsi="Arial" w:cs="Arial"/>
        </w:rPr>
        <w:t>Support the implementation of this policy and its associated procedure</w:t>
      </w:r>
      <w:r w:rsidR="00014440">
        <w:rPr>
          <w:rFonts w:ascii="Arial" w:hAnsi="Arial" w:cs="Arial"/>
        </w:rPr>
        <w:t>; and</w:t>
      </w:r>
    </w:p>
    <w:p w:rsidR="0064734B" w:rsidRPr="002D756F" w:rsidRDefault="0064734B" w:rsidP="00A26CC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:rsidR="00917FB9" w:rsidRPr="002D756F" w:rsidRDefault="00917FB9" w:rsidP="00A26CCE">
      <w:pPr>
        <w:numPr>
          <w:ilvl w:val="2"/>
          <w:numId w:val="2"/>
        </w:numPr>
        <w:autoSpaceDE w:val="0"/>
        <w:autoSpaceDN w:val="0"/>
        <w:adjustRightInd w:val="0"/>
        <w:ind w:hanging="709"/>
        <w:jc w:val="both"/>
        <w:rPr>
          <w:rFonts w:ascii="Arial" w:hAnsi="Arial" w:cs="Arial"/>
          <w:bCs/>
        </w:rPr>
      </w:pPr>
      <w:r w:rsidRPr="002D756F">
        <w:rPr>
          <w:rFonts w:ascii="Arial" w:hAnsi="Arial" w:cs="Arial"/>
          <w:bCs/>
        </w:rPr>
        <w:t xml:space="preserve">Ensure clinical specialties undertake reviews of cases raised as requiring further review by the Medical Examiners. </w:t>
      </w:r>
    </w:p>
    <w:p w:rsidR="00CD145C" w:rsidRPr="00A26CCE" w:rsidRDefault="00CD145C" w:rsidP="0001444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</w:p>
    <w:p w:rsidR="00A63D04" w:rsidRDefault="0097056F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Safety and Governance Directorate </w:t>
      </w:r>
    </w:p>
    <w:p w:rsidR="00A63D04" w:rsidRDefault="00A63D04" w:rsidP="00A26CCE">
      <w:pPr>
        <w:jc w:val="both"/>
        <w:rPr>
          <w:rFonts w:ascii="Arial" w:hAnsi="Arial" w:cs="Arial"/>
          <w:b/>
          <w:bCs/>
        </w:rPr>
      </w:pPr>
    </w:p>
    <w:p w:rsidR="00644360" w:rsidRDefault="00014440" w:rsidP="0097056F">
      <w:pPr>
        <w:ind w:left="698" w:firstLine="720"/>
        <w:jc w:val="both"/>
        <w:rPr>
          <w:rFonts w:ascii="Arial" w:hAnsi="Arial" w:cs="Arial"/>
          <w:bCs/>
        </w:rPr>
      </w:pPr>
      <w:r w:rsidRPr="00A26CCE">
        <w:rPr>
          <w:rFonts w:ascii="Arial" w:hAnsi="Arial" w:cs="Arial"/>
          <w:bCs/>
        </w:rPr>
        <w:t xml:space="preserve">Members of </w:t>
      </w:r>
      <w:r w:rsidRPr="002D756F">
        <w:rPr>
          <w:rFonts w:ascii="Arial" w:hAnsi="Arial" w:cs="Arial"/>
          <w:bCs/>
        </w:rPr>
        <w:t>t</w:t>
      </w:r>
      <w:r w:rsidR="001E4399" w:rsidRPr="002D756F">
        <w:rPr>
          <w:rFonts w:ascii="Arial" w:hAnsi="Arial" w:cs="Arial"/>
          <w:bCs/>
        </w:rPr>
        <w:t>he</w:t>
      </w:r>
      <w:r w:rsidR="0097056F">
        <w:rPr>
          <w:rFonts w:ascii="Arial" w:hAnsi="Arial" w:cs="Arial"/>
          <w:bCs/>
        </w:rPr>
        <w:t xml:space="preserve"> </w:t>
      </w:r>
      <w:r w:rsidR="0097056F" w:rsidRPr="0097056F">
        <w:rPr>
          <w:rFonts w:ascii="Arial" w:hAnsi="Arial" w:cs="Arial"/>
          <w:bCs/>
        </w:rPr>
        <w:t>Safety a</w:t>
      </w:r>
      <w:r w:rsidR="0097056F" w:rsidRPr="00424BC4">
        <w:rPr>
          <w:rFonts w:ascii="Arial" w:hAnsi="Arial" w:cs="Arial"/>
          <w:bCs/>
        </w:rPr>
        <w:t>nd Governance Directorate will</w:t>
      </w:r>
      <w:r w:rsidR="0097056F">
        <w:rPr>
          <w:rFonts w:ascii="Arial" w:hAnsi="Arial" w:cs="Arial"/>
          <w:bCs/>
        </w:rPr>
        <w:t>:</w:t>
      </w:r>
    </w:p>
    <w:p w:rsidR="00917FB9" w:rsidRPr="002D756F" w:rsidRDefault="00917FB9" w:rsidP="0097056F">
      <w:pPr>
        <w:ind w:left="698" w:firstLine="720"/>
        <w:jc w:val="both"/>
        <w:rPr>
          <w:rFonts w:ascii="Arial" w:hAnsi="Arial" w:cs="Arial"/>
          <w:b/>
          <w:bCs/>
        </w:rPr>
      </w:pPr>
      <w:r w:rsidRPr="002D756F">
        <w:rPr>
          <w:rFonts w:ascii="Arial" w:hAnsi="Arial" w:cs="Arial"/>
          <w:b/>
          <w:bCs/>
        </w:rPr>
        <w:tab/>
      </w:r>
    </w:p>
    <w:p w:rsidR="00917FB9" w:rsidRPr="002D756F" w:rsidRDefault="00A46231" w:rsidP="00A26CCE">
      <w:pPr>
        <w:numPr>
          <w:ilvl w:val="2"/>
          <w:numId w:val="2"/>
        </w:numPr>
        <w:autoSpaceDE w:val="0"/>
        <w:autoSpaceDN w:val="0"/>
        <w:adjustRightInd w:val="0"/>
        <w:ind w:hanging="709"/>
        <w:jc w:val="both"/>
        <w:rPr>
          <w:rFonts w:ascii="Arial" w:hAnsi="Arial" w:cs="Arial"/>
          <w:bCs/>
        </w:rPr>
      </w:pPr>
      <w:r w:rsidRPr="002D756F">
        <w:rPr>
          <w:rFonts w:ascii="Arial" w:hAnsi="Arial" w:cs="Arial"/>
          <w:bCs/>
        </w:rPr>
        <w:t>Provid</w:t>
      </w:r>
      <w:r w:rsidR="00014440">
        <w:rPr>
          <w:rFonts w:ascii="Arial" w:hAnsi="Arial" w:cs="Arial"/>
          <w:bCs/>
        </w:rPr>
        <w:t>e</w:t>
      </w:r>
      <w:r w:rsidR="00A26CCE">
        <w:rPr>
          <w:rFonts w:ascii="Arial" w:hAnsi="Arial" w:cs="Arial"/>
          <w:bCs/>
        </w:rPr>
        <w:t xml:space="preserve"> </w:t>
      </w:r>
      <w:r w:rsidR="00917FB9" w:rsidRPr="002D756F">
        <w:rPr>
          <w:rFonts w:ascii="Arial" w:hAnsi="Arial" w:cs="Arial"/>
          <w:bCs/>
        </w:rPr>
        <w:t>outcome reports to the Medical Director</w:t>
      </w:r>
      <w:r w:rsidR="00014440">
        <w:rPr>
          <w:rFonts w:ascii="Arial" w:hAnsi="Arial" w:cs="Arial"/>
          <w:bCs/>
        </w:rPr>
        <w:t>;</w:t>
      </w:r>
    </w:p>
    <w:p w:rsidR="00917FB9" w:rsidRPr="002D756F" w:rsidRDefault="00917FB9" w:rsidP="00A26CCE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Cs/>
        </w:rPr>
      </w:pPr>
    </w:p>
    <w:p w:rsidR="00917FB9" w:rsidRPr="002D756F" w:rsidRDefault="00917FB9" w:rsidP="00A26CCE">
      <w:pPr>
        <w:numPr>
          <w:ilvl w:val="2"/>
          <w:numId w:val="2"/>
        </w:numPr>
        <w:autoSpaceDE w:val="0"/>
        <w:autoSpaceDN w:val="0"/>
        <w:adjustRightInd w:val="0"/>
        <w:ind w:hanging="709"/>
        <w:jc w:val="both"/>
        <w:rPr>
          <w:rFonts w:ascii="Arial" w:hAnsi="Arial" w:cs="Arial"/>
          <w:bCs/>
        </w:rPr>
      </w:pPr>
      <w:r w:rsidRPr="002D756F">
        <w:rPr>
          <w:rFonts w:ascii="Arial" w:hAnsi="Arial" w:cs="Arial"/>
          <w:bCs/>
        </w:rPr>
        <w:tab/>
      </w:r>
      <w:r w:rsidR="00A46231" w:rsidRPr="002D756F">
        <w:rPr>
          <w:rFonts w:ascii="Arial" w:hAnsi="Arial" w:cs="Arial"/>
          <w:bCs/>
        </w:rPr>
        <w:t>Manag</w:t>
      </w:r>
      <w:r w:rsidR="00014440">
        <w:rPr>
          <w:rFonts w:ascii="Arial" w:hAnsi="Arial" w:cs="Arial"/>
          <w:bCs/>
        </w:rPr>
        <w:t>e</w:t>
      </w:r>
      <w:r w:rsidR="005772D6" w:rsidRPr="002D756F">
        <w:rPr>
          <w:rFonts w:ascii="Arial" w:hAnsi="Arial" w:cs="Arial"/>
          <w:bCs/>
        </w:rPr>
        <w:t xml:space="preserve"> the process of reviewing and escalating outcomes of Medical Examiner reviews</w:t>
      </w:r>
      <w:r w:rsidR="00014440">
        <w:rPr>
          <w:rFonts w:ascii="Arial" w:hAnsi="Arial" w:cs="Arial"/>
          <w:bCs/>
        </w:rPr>
        <w:t>; and</w:t>
      </w:r>
    </w:p>
    <w:p w:rsidR="005772D6" w:rsidRPr="002D756F" w:rsidRDefault="005772D6" w:rsidP="00A26CCE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Cs/>
        </w:rPr>
      </w:pPr>
      <w:r w:rsidRPr="002D756F">
        <w:rPr>
          <w:rFonts w:ascii="Arial" w:hAnsi="Arial" w:cs="Arial"/>
          <w:bCs/>
        </w:rPr>
        <w:tab/>
      </w:r>
    </w:p>
    <w:p w:rsidR="00CD145C" w:rsidRDefault="00A46231" w:rsidP="00A26CCE">
      <w:pPr>
        <w:numPr>
          <w:ilvl w:val="2"/>
          <w:numId w:val="2"/>
        </w:numPr>
        <w:autoSpaceDE w:val="0"/>
        <w:autoSpaceDN w:val="0"/>
        <w:adjustRightInd w:val="0"/>
        <w:ind w:hanging="709"/>
        <w:jc w:val="both"/>
        <w:rPr>
          <w:rFonts w:ascii="Arial" w:hAnsi="Arial" w:cs="Arial"/>
          <w:bCs/>
        </w:rPr>
      </w:pPr>
      <w:r w:rsidRPr="002D756F">
        <w:rPr>
          <w:rFonts w:ascii="Arial" w:hAnsi="Arial" w:cs="Arial"/>
          <w:bCs/>
        </w:rPr>
        <w:t>Produc</w:t>
      </w:r>
      <w:r w:rsidR="00014440">
        <w:rPr>
          <w:rFonts w:ascii="Arial" w:hAnsi="Arial" w:cs="Arial"/>
          <w:bCs/>
        </w:rPr>
        <w:t>e</w:t>
      </w:r>
      <w:r w:rsidR="005772D6" w:rsidRPr="002D756F">
        <w:rPr>
          <w:rFonts w:ascii="Arial" w:hAnsi="Arial" w:cs="Arial"/>
          <w:bCs/>
        </w:rPr>
        <w:t xml:space="preserve"> reports in line with national requirements to the </w:t>
      </w:r>
      <w:r w:rsidR="003570AB" w:rsidRPr="002D756F">
        <w:rPr>
          <w:rFonts w:ascii="Arial" w:hAnsi="Arial" w:cs="Arial"/>
          <w:bCs/>
        </w:rPr>
        <w:t>Trust Boar</w:t>
      </w:r>
      <w:r w:rsidR="005772D6" w:rsidRPr="002D756F">
        <w:rPr>
          <w:rFonts w:ascii="Arial" w:hAnsi="Arial" w:cs="Arial"/>
          <w:bCs/>
        </w:rPr>
        <w:t xml:space="preserve">d </w:t>
      </w:r>
      <w:r w:rsidR="003570AB" w:rsidRPr="002D756F">
        <w:rPr>
          <w:rFonts w:ascii="Arial" w:hAnsi="Arial" w:cs="Arial"/>
          <w:bCs/>
        </w:rPr>
        <w:t xml:space="preserve">of Directors </w:t>
      </w:r>
      <w:r w:rsidR="005772D6" w:rsidRPr="002D756F">
        <w:rPr>
          <w:rFonts w:ascii="Arial" w:hAnsi="Arial" w:cs="Arial"/>
          <w:bCs/>
        </w:rPr>
        <w:t xml:space="preserve">and </w:t>
      </w:r>
      <w:r w:rsidR="003570AB" w:rsidRPr="002D756F">
        <w:rPr>
          <w:rFonts w:ascii="Arial" w:hAnsi="Arial" w:cs="Arial"/>
          <w:bCs/>
        </w:rPr>
        <w:t xml:space="preserve">the </w:t>
      </w:r>
      <w:r w:rsidR="005772D6" w:rsidRPr="002D756F">
        <w:rPr>
          <w:rFonts w:ascii="Arial" w:hAnsi="Arial" w:cs="Arial"/>
          <w:bCs/>
        </w:rPr>
        <w:t>Clinical Commissioning Group.</w:t>
      </w:r>
    </w:p>
    <w:p w:rsidR="0097056F" w:rsidRDefault="0097056F" w:rsidP="0097056F">
      <w:pPr>
        <w:pStyle w:val="ListParagraph"/>
        <w:rPr>
          <w:rFonts w:ascii="Arial" w:hAnsi="Arial" w:cs="Arial"/>
          <w:bCs/>
        </w:rPr>
      </w:pPr>
    </w:p>
    <w:p w:rsidR="0097056F" w:rsidRDefault="0097056F" w:rsidP="0097056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bCs/>
        </w:rPr>
      </w:pPr>
    </w:p>
    <w:p w:rsidR="0097056F" w:rsidRPr="002D756F" w:rsidRDefault="0097056F" w:rsidP="0097056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bCs/>
        </w:rPr>
      </w:pPr>
    </w:p>
    <w:p w:rsidR="00CD145C" w:rsidRPr="00124F6D" w:rsidRDefault="00AB0A25" w:rsidP="00124F6D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  <w:b/>
        </w:rPr>
      </w:pPr>
      <w:r w:rsidRPr="00124F6D">
        <w:rPr>
          <w:rFonts w:ascii="Arial" w:hAnsi="Arial" w:cs="Arial"/>
          <w:b/>
        </w:rPr>
        <w:t>Bereavement Services</w:t>
      </w:r>
    </w:p>
    <w:p w:rsidR="00A26CCE" w:rsidRDefault="00A26CCE" w:rsidP="00A26CCE">
      <w:pPr>
        <w:jc w:val="both"/>
        <w:rPr>
          <w:rFonts w:ascii="Arial" w:hAnsi="Arial" w:cs="Arial"/>
        </w:rPr>
      </w:pPr>
    </w:p>
    <w:p w:rsidR="00A26CCE" w:rsidRDefault="00AB0A25" w:rsidP="00124F6D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of Bereavement Services will support families and carers of patients who have died whilst in the care of the Trust.</w:t>
      </w:r>
    </w:p>
    <w:p w:rsidR="00AB0A25" w:rsidRPr="002D756F" w:rsidRDefault="00AB0A25" w:rsidP="00124F6D">
      <w:pPr>
        <w:ind w:left="1418"/>
        <w:jc w:val="both"/>
        <w:rPr>
          <w:rFonts w:ascii="Arial" w:hAnsi="Arial" w:cs="Arial"/>
        </w:rPr>
      </w:pPr>
    </w:p>
    <w:p w:rsidR="00AB0A25" w:rsidRDefault="00124F6D" w:rsidP="007D1BF3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Investigations </w:t>
      </w:r>
      <w:r w:rsidR="00AB0A25">
        <w:rPr>
          <w:rFonts w:ascii="Arial" w:hAnsi="Arial" w:cs="Arial"/>
          <w:b/>
        </w:rPr>
        <w:t xml:space="preserve">Team </w:t>
      </w:r>
    </w:p>
    <w:p w:rsidR="00AB0A25" w:rsidRPr="00124F6D" w:rsidRDefault="00AB0A25" w:rsidP="00124F6D">
      <w:pPr>
        <w:ind w:left="1418"/>
        <w:jc w:val="both"/>
        <w:rPr>
          <w:rFonts w:ascii="Arial" w:hAnsi="Arial" w:cs="Arial"/>
        </w:rPr>
      </w:pPr>
    </w:p>
    <w:p w:rsidR="00AB0A25" w:rsidRPr="00124F6D" w:rsidRDefault="00AB0A25" w:rsidP="00124F6D">
      <w:pPr>
        <w:ind w:left="1418"/>
        <w:jc w:val="both"/>
        <w:rPr>
          <w:rFonts w:ascii="Arial" w:hAnsi="Arial" w:cs="Arial"/>
        </w:rPr>
      </w:pPr>
      <w:r w:rsidRPr="00124F6D">
        <w:rPr>
          <w:rFonts w:ascii="Arial" w:hAnsi="Arial" w:cs="Arial"/>
        </w:rPr>
        <w:t xml:space="preserve">Members of the </w:t>
      </w:r>
      <w:r w:rsidR="0097056F">
        <w:rPr>
          <w:rFonts w:ascii="Arial" w:hAnsi="Arial" w:cs="Arial"/>
        </w:rPr>
        <w:t>Investigations</w:t>
      </w:r>
      <w:r w:rsidRPr="00124F6D">
        <w:rPr>
          <w:rFonts w:ascii="Arial" w:hAnsi="Arial" w:cs="Arial"/>
        </w:rPr>
        <w:t xml:space="preserve"> Team will maintain contact with families and carers and offer them the opportunity to meet and dis</w:t>
      </w:r>
      <w:r>
        <w:rPr>
          <w:rFonts w:ascii="Arial" w:hAnsi="Arial" w:cs="Arial"/>
        </w:rPr>
        <w:t>c</w:t>
      </w:r>
      <w:r w:rsidRPr="00124F6D">
        <w:rPr>
          <w:rFonts w:ascii="Arial" w:hAnsi="Arial" w:cs="Arial"/>
        </w:rPr>
        <w:t>uss their concerns or answer any questions they may have</w:t>
      </w:r>
      <w:r w:rsidR="00644360">
        <w:rPr>
          <w:rFonts w:ascii="Arial" w:hAnsi="Arial" w:cs="Arial"/>
        </w:rPr>
        <w:t xml:space="preserve"> where a case requires a serious incident investigation</w:t>
      </w:r>
      <w:r w:rsidRPr="00124F6D">
        <w:rPr>
          <w:rFonts w:ascii="Arial" w:hAnsi="Arial" w:cs="Arial"/>
        </w:rPr>
        <w:t>.</w:t>
      </w:r>
    </w:p>
    <w:p w:rsidR="00AB0A25" w:rsidRDefault="00AB0A25" w:rsidP="00124F6D">
      <w:pPr>
        <w:ind w:left="1418"/>
        <w:jc w:val="both"/>
        <w:rPr>
          <w:rFonts w:ascii="Arial" w:hAnsi="Arial" w:cs="Arial"/>
          <w:b/>
        </w:rPr>
      </w:pPr>
    </w:p>
    <w:p w:rsidR="007D1BF3" w:rsidRDefault="007D1BF3" w:rsidP="007D1BF3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Disability Specialist Nurses</w:t>
      </w:r>
    </w:p>
    <w:p w:rsidR="007D1BF3" w:rsidRDefault="007D1BF3" w:rsidP="007D1BF3">
      <w:pPr>
        <w:ind w:left="1418"/>
        <w:jc w:val="both"/>
        <w:rPr>
          <w:rFonts w:ascii="Arial" w:hAnsi="Arial" w:cs="Arial"/>
          <w:b/>
        </w:rPr>
      </w:pPr>
    </w:p>
    <w:p w:rsidR="00E479F1" w:rsidRPr="00E479F1" w:rsidRDefault="00E479F1" w:rsidP="00E479F1">
      <w:pPr>
        <w:pStyle w:val="Heading3"/>
        <w:spacing w:before="0" w:line="240" w:lineRule="auto"/>
        <w:ind w:left="1418" w:firstLine="11"/>
        <w:rPr>
          <w:rFonts w:ascii="Arial" w:hAnsi="Arial" w:cs="Arial"/>
          <w:b w:val="0"/>
          <w:color w:val="auto"/>
          <w:sz w:val="24"/>
          <w:szCs w:val="24"/>
        </w:rPr>
      </w:pPr>
      <w:r w:rsidRPr="00E479F1">
        <w:rPr>
          <w:rFonts w:ascii="Arial" w:hAnsi="Arial" w:cs="Arial"/>
          <w:b w:val="0"/>
          <w:color w:val="auto"/>
          <w:sz w:val="24"/>
          <w:szCs w:val="24"/>
        </w:rPr>
        <w:t>Learning Disability Specialist Nurses will assist the Medical Examiner to identify patients with a Learning Disability by informing the Medical Examiners when a patient with a learning disability dies under the care of the Trust.</w:t>
      </w:r>
    </w:p>
    <w:p w:rsidR="007D1BF3" w:rsidRDefault="007D1BF3" w:rsidP="00124F6D">
      <w:pPr>
        <w:ind w:left="709"/>
        <w:jc w:val="both"/>
        <w:rPr>
          <w:rFonts w:ascii="Arial" w:hAnsi="Arial" w:cs="Arial"/>
          <w:b/>
        </w:rPr>
      </w:pPr>
    </w:p>
    <w:p w:rsidR="00A63D04" w:rsidRDefault="00CD145C" w:rsidP="00A26CCE">
      <w:pPr>
        <w:numPr>
          <w:ilvl w:val="0"/>
          <w:numId w:val="2"/>
        </w:numPr>
        <w:tabs>
          <w:tab w:val="clear" w:pos="1276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2D756F">
        <w:rPr>
          <w:rFonts w:ascii="Arial" w:hAnsi="Arial" w:cs="Arial"/>
          <w:b/>
        </w:rPr>
        <w:t>Implementation and Monitoring</w:t>
      </w:r>
    </w:p>
    <w:p w:rsidR="00CD145C" w:rsidRPr="002D756F" w:rsidRDefault="00CD145C" w:rsidP="00A26CCE">
      <w:pPr>
        <w:ind w:left="709"/>
        <w:jc w:val="both"/>
        <w:rPr>
          <w:rFonts w:ascii="Arial" w:hAnsi="Arial" w:cs="Arial"/>
          <w:b/>
        </w:rPr>
      </w:pPr>
    </w:p>
    <w:p w:rsidR="00CD145C" w:rsidRPr="00644360" w:rsidRDefault="00CD145C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 w:rsidRPr="00644360">
        <w:rPr>
          <w:rFonts w:ascii="Arial" w:hAnsi="Arial" w:cs="Arial"/>
        </w:rPr>
        <w:t>Implementation</w:t>
      </w:r>
    </w:p>
    <w:p w:rsidR="00A63D04" w:rsidRPr="00014440" w:rsidRDefault="00A63D04" w:rsidP="00A26CCE">
      <w:pPr>
        <w:ind w:left="1418"/>
        <w:jc w:val="both"/>
        <w:rPr>
          <w:rFonts w:ascii="Arial" w:hAnsi="Arial" w:cs="Arial"/>
        </w:rPr>
      </w:pPr>
    </w:p>
    <w:p w:rsidR="00A63D04" w:rsidRDefault="00CD145C" w:rsidP="009E34D3">
      <w:p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2D756F">
        <w:rPr>
          <w:rFonts w:ascii="Arial" w:hAnsi="Arial" w:cs="Arial"/>
        </w:rPr>
        <w:t>This policy will be available on the Trust’s Intranet Site</w:t>
      </w:r>
      <w:r w:rsidR="00E479F1">
        <w:rPr>
          <w:rFonts w:ascii="Arial" w:hAnsi="Arial" w:cs="Arial"/>
        </w:rPr>
        <w:t xml:space="preserve"> and on the Trust’s external facing internet site</w:t>
      </w:r>
      <w:r w:rsidRPr="002D756F">
        <w:rPr>
          <w:rFonts w:ascii="Arial" w:hAnsi="Arial" w:cs="Arial"/>
        </w:rPr>
        <w:t>. The policy will also be disseminated through the management structure within the Trust</w:t>
      </w:r>
      <w:r w:rsidR="00A63D04">
        <w:rPr>
          <w:rFonts w:ascii="Arial" w:hAnsi="Arial" w:cs="Arial"/>
        </w:rPr>
        <w:t>.</w:t>
      </w:r>
    </w:p>
    <w:p w:rsidR="00A63D04" w:rsidRPr="002D756F" w:rsidRDefault="00A63D04" w:rsidP="00A26CCE">
      <w:pPr>
        <w:ind w:left="1854"/>
        <w:jc w:val="both"/>
        <w:rPr>
          <w:rFonts w:ascii="Arial" w:hAnsi="Arial" w:cs="Arial"/>
        </w:rPr>
      </w:pPr>
    </w:p>
    <w:p w:rsidR="00CD145C" w:rsidRPr="00644360" w:rsidRDefault="00CD145C" w:rsidP="00A26CCE">
      <w:pPr>
        <w:numPr>
          <w:ilvl w:val="1"/>
          <w:numId w:val="2"/>
        </w:numPr>
        <w:tabs>
          <w:tab w:val="clear" w:pos="1134"/>
          <w:tab w:val="num" w:pos="1418"/>
        </w:tabs>
        <w:ind w:left="1418" w:hanging="709"/>
        <w:jc w:val="both"/>
        <w:rPr>
          <w:rFonts w:ascii="Arial" w:hAnsi="Arial" w:cs="Arial"/>
        </w:rPr>
      </w:pPr>
      <w:r w:rsidRPr="00644360">
        <w:rPr>
          <w:rFonts w:ascii="Arial" w:hAnsi="Arial" w:cs="Arial"/>
        </w:rPr>
        <w:t>Monitoring</w:t>
      </w:r>
    </w:p>
    <w:p w:rsidR="00A46231" w:rsidRPr="002D756F" w:rsidRDefault="00A46231" w:rsidP="001D5719">
      <w:pPr>
        <w:ind w:left="1418"/>
        <w:jc w:val="both"/>
        <w:rPr>
          <w:rFonts w:ascii="Arial" w:hAnsi="Arial" w:cs="Arial"/>
        </w:rPr>
      </w:pPr>
    </w:p>
    <w:p w:rsidR="00CD145C" w:rsidRPr="002D756F" w:rsidRDefault="00CD145C" w:rsidP="001D5719">
      <w:pPr>
        <w:ind w:left="1418"/>
        <w:jc w:val="both"/>
        <w:rPr>
          <w:rFonts w:ascii="Arial" w:hAnsi="Arial" w:cs="Arial"/>
        </w:rPr>
      </w:pPr>
      <w:r w:rsidRPr="002D756F">
        <w:rPr>
          <w:rFonts w:ascii="Arial" w:hAnsi="Arial" w:cs="Arial"/>
        </w:rPr>
        <w:t>Appendix A provides full details on how the policy will be monitored by the Trust.</w:t>
      </w:r>
    </w:p>
    <w:p w:rsidR="00CD145C" w:rsidRPr="002D756F" w:rsidRDefault="00CD145C" w:rsidP="00A26CCE">
      <w:pPr>
        <w:ind w:left="1134"/>
        <w:jc w:val="both"/>
        <w:rPr>
          <w:rFonts w:ascii="Arial" w:hAnsi="Arial" w:cs="Arial"/>
        </w:rPr>
      </w:pPr>
    </w:p>
    <w:p w:rsidR="00CD145C" w:rsidRPr="002D756F" w:rsidRDefault="00CD145C" w:rsidP="00A26CCE">
      <w:pPr>
        <w:numPr>
          <w:ilvl w:val="0"/>
          <w:numId w:val="2"/>
        </w:numPr>
        <w:tabs>
          <w:tab w:val="clear" w:pos="1276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2D756F">
        <w:rPr>
          <w:rFonts w:ascii="Arial" w:hAnsi="Arial" w:cs="Arial"/>
          <w:b/>
        </w:rPr>
        <w:t>References</w:t>
      </w:r>
      <w:r w:rsidR="00971956" w:rsidRPr="002D756F">
        <w:rPr>
          <w:rFonts w:ascii="Arial" w:hAnsi="Arial" w:cs="Arial"/>
          <w:b/>
        </w:rPr>
        <w:br/>
      </w:r>
    </w:p>
    <w:p w:rsidR="00CD145C" w:rsidRPr="002D756F" w:rsidRDefault="00971956" w:rsidP="00A26CCE">
      <w:pPr>
        <w:ind w:left="709"/>
        <w:jc w:val="both"/>
        <w:rPr>
          <w:rFonts w:ascii="Arial" w:hAnsi="Arial" w:cs="Arial"/>
        </w:rPr>
      </w:pPr>
      <w:r w:rsidRPr="002D756F">
        <w:rPr>
          <w:rFonts w:ascii="Arial" w:hAnsi="Arial" w:cs="Arial"/>
        </w:rPr>
        <w:t>National Quality Board (2017) – National Guidance on Learning from Deaths</w:t>
      </w:r>
      <w:r w:rsidR="003570AB" w:rsidRPr="002D756F">
        <w:rPr>
          <w:rFonts w:ascii="Arial" w:hAnsi="Arial" w:cs="Arial"/>
        </w:rPr>
        <w:t xml:space="preserve"> </w:t>
      </w:r>
      <w:r w:rsidRPr="002D756F">
        <w:rPr>
          <w:rFonts w:ascii="Arial" w:hAnsi="Arial" w:cs="Arial"/>
        </w:rPr>
        <w:br/>
      </w:r>
    </w:p>
    <w:p w:rsidR="00A46231" w:rsidRDefault="00A663CE" w:rsidP="00A26CCE">
      <w:pPr>
        <w:numPr>
          <w:ilvl w:val="0"/>
          <w:numId w:val="2"/>
        </w:numPr>
        <w:tabs>
          <w:tab w:val="clear" w:pos="1276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2D756F">
        <w:rPr>
          <w:rFonts w:ascii="Arial" w:hAnsi="Arial" w:cs="Arial"/>
          <w:b/>
        </w:rPr>
        <w:t>Associated Policies</w:t>
      </w:r>
      <w:r w:rsidR="00CD145C" w:rsidRPr="002D756F">
        <w:rPr>
          <w:rFonts w:ascii="Arial" w:hAnsi="Arial" w:cs="Arial"/>
          <w:b/>
        </w:rPr>
        <w:t xml:space="preserve"> and Procedural Documentation</w:t>
      </w:r>
    </w:p>
    <w:p w:rsidR="00A63D04" w:rsidRPr="00014440" w:rsidRDefault="00A63D04" w:rsidP="00A26CCE">
      <w:pPr>
        <w:ind w:left="709"/>
        <w:jc w:val="both"/>
        <w:rPr>
          <w:rFonts w:ascii="Arial" w:hAnsi="Arial" w:cs="Arial"/>
          <w:b/>
        </w:rPr>
      </w:pPr>
    </w:p>
    <w:p w:rsidR="00A63D04" w:rsidRDefault="00A63D04" w:rsidP="00A63D04">
      <w:pPr>
        <w:ind w:left="709"/>
        <w:jc w:val="both"/>
        <w:rPr>
          <w:rFonts w:ascii="Arial" w:hAnsi="Arial" w:cs="Arial"/>
        </w:rPr>
      </w:pPr>
      <w:r w:rsidRPr="008621BC">
        <w:rPr>
          <w:rFonts w:ascii="Arial" w:hAnsi="Arial" w:cs="Arial"/>
        </w:rPr>
        <w:t>Bereavement Policy and Procedures</w:t>
      </w:r>
    </w:p>
    <w:p w:rsidR="00A63D04" w:rsidRPr="008621BC" w:rsidRDefault="00A63D04" w:rsidP="00A63D04">
      <w:pPr>
        <w:ind w:left="709"/>
        <w:jc w:val="both"/>
        <w:rPr>
          <w:rFonts w:ascii="Arial" w:hAnsi="Arial" w:cs="Arial"/>
        </w:rPr>
      </w:pPr>
    </w:p>
    <w:p w:rsidR="00A63D04" w:rsidRDefault="0097056F" w:rsidP="00A26CC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Incident</w:t>
      </w:r>
      <w:r w:rsidR="00A63D04" w:rsidRPr="00A63D04">
        <w:rPr>
          <w:rFonts w:ascii="Arial" w:hAnsi="Arial" w:cs="Arial"/>
        </w:rPr>
        <w:t xml:space="preserve"> Reporting and Management </w:t>
      </w:r>
      <w:r>
        <w:rPr>
          <w:rFonts w:ascii="Arial" w:hAnsi="Arial" w:cs="Arial"/>
        </w:rPr>
        <w:t>Policy and Procedure</w:t>
      </w:r>
    </w:p>
    <w:p w:rsidR="00A63D04" w:rsidRDefault="00A63D04" w:rsidP="0097056F">
      <w:pPr>
        <w:jc w:val="both"/>
        <w:rPr>
          <w:rFonts w:ascii="Arial" w:hAnsi="Arial" w:cs="Arial"/>
        </w:rPr>
      </w:pPr>
    </w:p>
    <w:p w:rsidR="00167732" w:rsidRDefault="00971956" w:rsidP="00A26CCE">
      <w:pPr>
        <w:ind w:left="709"/>
        <w:jc w:val="both"/>
        <w:rPr>
          <w:rFonts w:ascii="Arial" w:hAnsi="Arial" w:cs="Arial"/>
        </w:rPr>
      </w:pPr>
      <w:r w:rsidRPr="00014440">
        <w:rPr>
          <w:rFonts w:ascii="Arial" w:hAnsi="Arial" w:cs="Arial"/>
        </w:rPr>
        <w:t>Reviewing Inpatient</w:t>
      </w:r>
      <w:r w:rsidRPr="002D756F">
        <w:rPr>
          <w:rFonts w:ascii="Arial" w:hAnsi="Arial" w:cs="Arial"/>
        </w:rPr>
        <w:t xml:space="preserve"> Deaths Procedure</w:t>
      </w:r>
    </w:p>
    <w:p w:rsidR="00A63D04" w:rsidRDefault="00A63D04" w:rsidP="00A26CCE">
      <w:pPr>
        <w:ind w:left="709"/>
        <w:jc w:val="both"/>
        <w:rPr>
          <w:rFonts w:ascii="Arial" w:hAnsi="Arial" w:cs="Arial"/>
        </w:rPr>
      </w:pPr>
    </w:p>
    <w:p w:rsidR="008B54A9" w:rsidRPr="00A26CCE" w:rsidRDefault="008B54A9" w:rsidP="00A26CCE">
      <w:pPr>
        <w:ind w:left="709"/>
        <w:jc w:val="both"/>
        <w:rPr>
          <w:rFonts w:ascii="Arial" w:hAnsi="Arial" w:cs="Arial"/>
        </w:rPr>
      </w:pPr>
    </w:p>
    <w:p w:rsidR="00A63D04" w:rsidRPr="00A26CCE" w:rsidRDefault="00A63D04" w:rsidP="00A26CCE">
      <w:pPr>
        <w:jc w:val="both"/>
        <w:rPr>
          <w:rFonts w:ascii="Arial" w:hAnsi="Arial" w:cs="Arial"/>
          <w:b/>
        </w:rPr>
        <w:sectPr w:rsidR="00A63D04" w:rsidRPr="00A26CCE" w:rsidSect="00A63D04">
          <w:footerReference w:type="defaul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63D04" w:rsidRDefault="001D5719" w:rsidP="00A26CCE">
      <w:pPr>
        <w:spacing w:after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Appendix A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Monitoring Matrix</w:t>
      </w:r>
    </w:p>
    <w:tbl>
      <w:tblPr>
        <w:tblpPr w:leftFromText="180" w:rightFromText="180" w:vertAnchor="page" w:horzAnchor="margin" w:tblpY="2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2177"/>
        <w:gridCol w:w="4329"/>
        <w:gridCol w:w="1986"/>
      </w:tblGrid>
      <w:tr w:rsidR="00A63D04" w:rsidRPr="00344B09" w:rsidTr="00A63D04">
        <w:tc>
          <w:tcPr>
            <w:tcW w:w="3528" w:type="dxa"/>
            <w:shd w:val="clear" w:color="auto" w:fill="CCCCCC"/>
          </w:tcPr>
          <w:p w:rsidR="00A63D04" w:rsidRPr="00344B09" w:rsidRDefault="00A63D04" w:rsidP="00A63D04">
            <w:pPr>
              <w:jc w:val="center"/>
              <w:rPr>
                <w:rFonts w:ascii="Arial" w:hAnsi="Arial" w:cs="Arial"/>
                <w:b/>
              </w:rPr>
            </w:pPr>
            <w:r w:rsidRPr="00344B09">
              <w:rPr>
                <w:rFonts w:ascii="Arial" w:hAnsi="Arial" w:cs="Arial"/>
                <w:b/>
              </w:rPr>
              <w:t>MONITORING OF IMPLEMENTATION</w:t>
            </w:r>
          </w:p>
        </w:tc>
        <w:tc>
          <w:tcPr>
            <w:tcW w:w="1980" w:type="dxa"/>
            <w:shd w:val="clear" w:color="auto" w:fill="CCCCCC"/>
          </w:tcPr>
          <w:p w:rsidR="00A63D04" w:rsidRPr="00344B09" w:rsidRDefault="00A63D04" w:rsidP="00A63D04">
            <w:pPr>
              <w:jc w:val="center"/>
              <w:rPr>
                <w:rFonts w:ascii="Arial" w:hAnsi="Arial" w:cs="Arial"/>
                <w:b/>
              </w:rPr>
            </w:pPr>
            <w:r w:rsidRPr="00344B09">
              <w:rPr>
                <w:rFonts w:ascii="Arial" w:hAnsi="Arial" w:cs="Arial"/>
                <w:b/>
              </w:rPr>
              <w:t>MONITORING LEAD</w:t>
            </w:r>
          </w:p>
        </w:tc>
        <w:tc>
          <w:tcPr>
            <w:tcW w:w="2177" w:type="dxa"/>
            <w:shd w:val="clear" w:color="auto" w:fill="CCCCCC"/>
          </w:tcPr>
          <w:p w:rsidR="00A63D04" w:rsidRPr="00344B09" w:rsidRDefault="00A63D04" w:rsidP="00A63D04">
            <w:pPr>
              <w:jc w:val="center"/>
              <w:rPr>
                <w:rFonts w:ascii="Arial" w:hAnsi="Arial" w:cs="Arial"/>
                <w:b/>
              </w:rPr>
            </w:pPr>
            <w:r w:rsidRPr="00344B09">
              <w:rPr>
                <w:rFonts w:ascii="Arial" w:hAnsi="Arial" w:cs="Arial"/>
                <w:b/>
              </w:rPr>
              <w:t>REPORTED TO</w:t>
            </w:r>
          </w:p>
          <w:p w:rsidR="00A63D04" w:rsidRPr="00344B09" w:rsidRDefault="00A63D04" w:rsidP="00A63D04">
            <w:pPr>
              <w:jc w:val="center"/>
              <w:rPr>
                <w:rFonts w:ascii="Arial" w:hAnsi="Arial" w:cs="Arial"/>
                <w:b/>
              </w:rPr>
            </w:pPr>
            <w:r w:rsidRPr="00344B09">
              <w:rPr>
                <w:rFonts w:ascii="Arial" w:hAnsi="Arial" w:cs="Arial"/>
                <w:b/>
              </w:rPr>
              <w:t>PERSON/GROUP</w:t>
            </w:r>
          </w:p>
        </w:tc>
        <w:tc>
          <w:tcPr>
            <w:tcW w:w="4329" w:type="dxa"/>
            <w:shd w:val="clear" w:color="auto" w:fill="CCCCCC"/>
          </w:tcPr>
          <w:p w:rsidR="00A63D04" w:rsidRPr="00344B09" w:rsidRDefault="00A63D04" w:rsidP="00A63D04">
            <w:pPr>
              <w:jc w:val="center"/>
              <w:rPr>
                <w:rFonts w:ascii="Arial" w:hAnsi="Arial" w:cs="Arial"/>
                <w:b/>
              </w:rPr>
            </w:pPr>
            <w:r w:rsidRPr="00344B09">
              <w:rPr>
                <w:rFonts w:ascii="Arial" w:hAnsi="Arial" w:cs="Arial"/>
                <w:b/>
              </w:rPr>
              <w:t>MONITORING PROCESS</w:t>
            </w:r>
          </w:p>
        </w:tc>
        <w:tc>
          <w:tcPr>
            <w:tcW w:w="1986" w:type="dxa"/>
            <w:shd w:val="clear" w:color="auto" w:fill="CCCCCC"/>
          </w:tcPr>
          <w:p w:rsidR="00A63D04" w:rsidRPr="00344B09" w:rsidRDefault="00A63D04" w:rsidP="00A63D04">
            <w:pPr>
              <w:jc w:val="center"/>
              <w:rPr>
                <w:rFonts w:ascii="Arial" w:hAnsi="Arial" w:cs="Arial"/>
                <w:b/>
              </w:rPr>
            </w:pPr>
            <w:r w:rsidRPr="00344B09">
              <w:rPr>
                <w:rFonts w:ascii="Arial" w:hAnsi="Arial" w:cs="Arial"/>
                <w:b/>
              </w:rPr>
              <w:t>MONITORING FREQUENCY</w:t>
            </w:r>
          </w:p>
        </w:tc>
      </w:tr>
      <w:tr w:rsidR="00A63D04" w:rsidRPr="00344B09" w:rsidTr="00A63D04">
        <w:tc>
          <w:tcPr>
            <w:tcW w:w="3528" w:type="dxa"/>
            <w:shd w:val="clear" w:color="auto" w:fill="auto"/>
          </w:tcPr>
          <w:p w:rsidR="00A63D04" w:rsidRPr="00FC7B01" w:rsidRDefault="00A63D04" w:rsidP="00A6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Trends and themes among stage 1 reviews, outcomes of stage 2 reviews.</w:t>
            </w:r>
          </w:p>
          <w:p w:rsidR="00A63D04" w:rsidRPr="00FC7B01" w:rsidRDefault="00A63D04" w:rsidP="00A6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3D04" w:rsidRPr="00FC7B01" w:rsidRDefault="00A63D04" w:rsidP="00A6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63D04" w:rsidRPr="00FC7B01" w:rsidRDefault="00644360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Clinical Safety and Governance</w:t>
            </w:r>
          </w:p>
        </w:tc>
        <w:tc>
          <w:tcPr>
            <w:tcW w:w="2177" w:type="dxa"/>
            <w:shd w:val="clear" w:color="auto" w:fill="auto"/>
          </w:tcPr>
          <w:p w:rsidR="00A63D04" w:rsidRPr="00FC7B01" w:rsidRDefault="00A63D04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Quality Monitoring Group</w:t>
            </w:r>
          </w:p>
        </w:tc>
        <w:tc>
          <w:tcPr>
            <w:tcW w:w="4329" w:type="dxa"/>
            <w:shd w:val="clear" w:color="auto" w:fill="auto"/>
          </w:tcPr>
          <w:p w:rsidR="00A63D04" w:rsidRPr="00E479F1" w:rsidRDefault="00A63D04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9F1">
              <w:rPr>
                <w:rFonts w:ascii="Arial" w:hAnsi="Arial" w:cs="Arial"/>
                <w:sz w:val="22"/>
                <w:szCs w:val="22"/>
              </w:rPr>
              <w:t>All stage 1 reviews are recorded electronically and the outcomes of these are captured in a dashboard which informs the CQMG report.</w:t>
            </w:r>
          </w:p>
          <w:p w:rsidR="00A63D04" w:rsidRPr="00E479F1" w:rsidRDefault="00A63D04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D04" w:rsidRPr="00E479F1" w:rsidRDefault="00A63D04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9F1">
              <w:rPr>
                <w:rFonts w:ascii="Arial" w:hAnsi="Arial" w:cs="Arial"/>
                <w:sz w:val="22"/>
                <w:szCs w:val="22"/>
              </w:rPr>
              <w:t>Stage 2 reviews will be collated and included separately in the report.</w:t>
            </w:r>
          </w:p>
        </w:tc>
        <w:tc>
          <w:tcPr>
            <w:tcW w:w="1986" w:type="dxa"/>
            <w:shd w:val="clear" w:color="auto" w:fill="auto"/>
          </w:tcPr>
          <w:p w:rsidR="00A63D04" w:rsidRDefault="00A63D04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 as routine for stage 1 reviews.</w:t>
            </w:r>
          </w:p>
          <w:p w:rsidR="00A63D04" w:rsidRDefault="00A63D04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D04" w:rsidRDefault="00A63D04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D04" w:rsidRPr="00FC7B01" w:rsidRDefault="00A63D04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Outcomes of stage 2 reviews or other serious concerns may be reported more frequently as required.</w:t>
            </w:r>
          </w:p>
        </w:tc>
      </w:tr>
      <w:tr w:rsidR="001D5719" w:rsidRPr="00344B09" w:rsidTr="00A63D04">
        <w:tc>
          <w:tcPr>
            <w:tcW w:w="3528" w:type="dxa"/>
            <w:shd w:val="clear" w:color="auto" w:fill="auto"/>
          </w:tcPr>
          <w:p w:rsidR="001D5719" w:rsidRDefault="001D5719" w:rsidP="00A6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719">
              <w:rPr>
                <w:rFonts w:ascii="Arial" w:hAnsi="Arial" w:cs="Arial"/>
                <w:color w:val="000000"/>
                <w:sz w:val="22"/>
                <w:szCs w:val="22"/>
              </w:rPr>
              <w:t>Trends and themes</w:t>
            </w:r>
          </w:p>
        </w:tc>
        <w:tc>
          <w:tcPr>
            <w:tcW w:w="1980" w:type="dxa"/>
            <w:shd w:val="clear" w:color="auto" w:fill="auto"/>
          </w:tcPr>
          <w:p w:rsidR="001D5719" w:rsidRDefault="00644360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and Governance</w:t>
            </w:r>
          </w:p>
        </w:tc>
        <w:tc>
          <w:tcPr>
            <w:tcW w:w="2177" w:type="dxa"/>
            <w:shd w:val="clear" w:color="auto" w:fill="auto"/>
          </w:tcPr>
          <w:p w:rsidR="001D5719" w:rsidRPr="001D5719" w:rsidRDefault="001D5719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719">
              <w:rPr>
                <w:rFonts w:ascii="Arial" w:hAnsi="Arial" w:cs="Arial"/>
                <w:sz w:val="22"/>
                <w:szCs w:val="22"/>
              </w:rPr>
              <w:t>CQMG</w:t>
            </w:r>
          </w:p>
          <w:p w:rsidR="001D5719" w:rsidRPr="001D5719" w:rsidRDefault="001D5719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5719" w:rsidRDefault="001D5719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719">
              <w:rPr>
                <w:rFonts w:ascii="Arial" w:hAnsi="Arial" w:cs="Arial"/>
                <w:sz w:val="22"/>
                <w:szCs w:val="22"/>
              </w:rPr>
              <w:t>Medical Examiner Meeting</w:t>
            </w:r>
          </w:p>
        </w:tc>
        <w:tc>
          <w:tcPr>
            <w:tcW w:w="4329" w:type="dxa"/>
            <w:shd w:val="clear" w:color="auto" w:fill="auto"/>
          </w:tcPr>
          <w:p w:rsidR="001D5719" w:rsidRPr="00E479F1" w:rsidRDefault="001D5719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9F1">
              <w:rPr>
                <w:rFonts w:ascii="Arial" w:hAnsi="Arial" w:cs="Arial"/>
                <w:sz w:val="22"/>
                <w:szCs w:val="22"/>
              </w:rPr>
              <w:t>Figures will be reported on any trends and themes</w:t>
            </w:r>
          </w:p>
        </w:tc>
        <w:tc>
          <w:tcPr>
            <w:tcW w:w="1986" w:type="dxa"/>
            <w:shd w:val="clear" w:color="auto" w:fill="auto"/>
          </w:tcPr>
          <w:p w:rsidR="001D5719" w:rsidRDefault="001D5719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719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</w:tr>
      <w:tr w:rsidR="00E479F1" w:rsidRPr="00344B09" w:rsidTr="00A63D04">
        <w:tc>
          <w:tcPr>
            <w:tcW w:w="3528" w:type="dxa"/>
            <w:shd w:val="clear" w:color="auto" w:fill="auto"/>
          </w:tcPr>
          <w:p w:rsidR="00E479F1" w:rsidRPr="001D5719" w:rsidRDefault="00E479F1" w:rsidP="00A6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719">
              <w:rPr>
                <w:rFonts w:ascii="Arial" w:hAnsi="Arial" w:cs="Arial"/>
                <w:color w:val="000000"/>
                <w:sz w:val="22"/>
                <w:szCs w:val="22"/>
              </w:rPr>
              <w:t>Cases meeting the escalation criteria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479F1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79F1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79F1" w:rsidRPr="001D5719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CQMG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479F1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79F1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79F1" w:rsidRPr="001D5719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719">
              <w:rPr>
                <w:rFonts w:ascii="Arial" w:hAnsi="Arial" w:cs="Arial"/>
                <w:sz w:val="22"/>
                <w:szCs w:val="22"/>
              </w:rPr>
              <w:t>Board of Directors</w:t>
            </w:r>
          </w:p>
          <w:p w:rsidR="00E479F1" w:rsidRPr="001D5719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:rsidR="00E479F1" w:rsidRPr="00E479F1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9F1">
              <w:rPr>
                <w:rFonts w:ascii="Arial" w:hAnsi="Arial" w:cs="Arial"/>
                <w:bCs/>
                <w:sz w:val="22"/>
                <w:szCs w:val="22"/>
              </w:rPr>
              <w:t>All cases that meet the criteria for escalation will be for senior review.</w:t>
            </w:r>
          </w:p>
        </w:tc>
        <w:tc>
          <w:tcPr>
            <w:tcW w:w="1986" w:type="dxa"/>
            <w:shd w:val="clear" w:color="auto" w:fill="auto"/>
          </w:tcPr>
          <w:p w:rsidR="00E479F1" w:rsidRPr="001D5719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719">
              <w:rPr>
                <w:rFonts w:ascii="Arial" w:hAnsi="Arial" w:cs="Arial"/>
                <w:sz w:val="22"/>
                <w:szCs w:val="22"/>
              </w:rPr>
              <w:t>By exception?</w:t>
            </w:r>
          </w:p>
        </w:tc>
      </w:tr>
      <w:tr w:rsidR="00E479F1" w:rsidRPr="00344B09" w:rsidTr="00A63D04">
        <w:tc>
          <w:tcPr>
            <w:tcW w:w="3528" w:type="dxa"/>
            <w:shd w:val="clear" w:color="auto" w:fill="auto"/>
          </w:tcPr>
          <w:p w:rsidR="00E479F1" w:rsidRPr="001D5719" w:rsidRDefault="00E479F1" w:rsidP="00A6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719">
              <w:rPr>
                <w:rFonts w:ascii="Arial" w:hAnsi="Arial" w:cs="Arial"/>
                <w:color w:val="000000"/>
                <w:sz w:val="22"/>
                <w:szCs w:val="22"/>
              </w:rPr>
              <w:t>Mortality figures and outcomes</w:t>
            </w:r>
          </w:p>
        </w:tc>
        <w:tc>
          <w:tcPr>
            <w:tcW w:w="1980" w:type="dxa"/>
            <w:vMerge/>
            <w:shd w:val="clear" w:color="auto" w:fill="auto"/>
          </w:tcPr>
          <w:p w:rsidR="00E479F1" w:rsidRPr="001D5719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E479F1" w:rsidRPr="001D5719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:rsidR="00E479F1" w:rsidRPr="00E479F1" w:rsidRDefault="00E479F1" w:rsidP="00E47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79F1">
              <w:rPr>
                <w:rFonts w:ascii="Arial" w:hAnsi="Arial" w:cs="Arial"/>
                <w:bCs/>
                <w:sz w:val="22"/>
                <w:szCs w:val="22"/>
              </w:rPr>
              <w:t>In line with the Care Quality Commission/National Quality Board requirements mortality figures and outcomes will be reported</w:t>
            </w:r>
          </w:p>
        </w:tc>
        <w:tc>
          <w:tcPr>
            <w:tcW w:w="1986" w:type="dxa"/>
            <w:shd w:val="clear" w:color="auto" w:fill="auto"/>
          </w:tcPr>
          <w:p w:rsidR="00E479F1" w:rsidRPr="001D5719" w:rsidRDefault="00E479F1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719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</w:tr>
      <w:tr w:rsidR="001D5719" w:rsidRPr="00344B09" w:rsidTr="00A63D04">
        <w:tc>
          <w:tcPr>
            <w:tcW w:w="3528" w:type="dxa"/>
            <w:shd w:val="clear" w:color="auto" w:fill="auto"/>
          </w:tcPr>
          <w:p w:rsidR="001D5719" w:rsidRPr="001D5719" w:rsidRDefault="001D5719" w:rsidP="00A6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14E4">
              <w:rPr>
                <w:rFonts w:ascii="Arial" w:hAnsi="Arial" w:cs="Arial"/>
                <w:color w:val="000000"/>
                <w:sz w:val="22"/>
                <w:szCs w:val="22"/>
              </w:rPr>
              <w:t>Scrutiny of care</w:t>
            </w:r>
          </w:p>
        </w:tc>
        <w:tc>
          <w:tcPr>
            <w:tcW w:w="1980" w:type="dxa"/>
            <w:shd w:val="clear" w:color="auto" w:fill="auto"/>
          </w:tcPr>
          <w:p w:rsidR="001D5719" w:rsidRPr="001D5719" w:rsidRDefault="001D5719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4E4">
              <w:rPr>
                <w:rFonts w:ascii="Arial" w:hAnsi="Arial" w:cs="Arial"/>
                <w:sz w:val="22"/>
                <w:szCs w:val="22"/>
              </w:rPr>
              <w:t>Medical Examiners</w:t>
            </w:r>
          </w:p>
        </w:tc>
        <w:tc>
          <w:tcPr>
            <w:tcW w:w="2177" w:type="dxa"/>
            <w:shd w:val="clear" w:color="auto" w:fill="auto"/>
          </w:tcPr>
          <w:p w:rsidR="001D5719" w:rsidRPr="001D5719" w:rsidRDefault="001D5719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719">
              <w:rPr>
                <w:rFonts w:ascii="Arial" w:hAnsi="Arial" w:cs="Arial"/>
                <w:sz w:val="22"/>
                <w:szCs w:val="22"/>
              </w:rPr>
              <w:t>Medical Director</w:t>
            </w:r>
          </w:p>
        </w:tc>
        <w:tc>
          <w:tcPr>
            <w:tcW w:w="4329" w:type="dxa"/>
            <w:shd w:val="clear" w:color="auto" w:fill="auto"/>
          </w:tcPr>
          <w:p w:rsidR="001D5719" w:rsidRPr="00E479F1" w:rsidRDefault="001D5719" w:rsidP="00E47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79F1">
              <w:rPr>
                <w:rFonts w:ascii="Arial" w:hAnsi="Arial" w:cs="Arial"/>
                <w:bCs/>
                <w:sz w:val="22"/>
                <w:szCs w:val="22"/>
              </w:rPr>
              <w:t>Cases where initial s</w:t>
            </w:r>
            <w:r w:rsidRPr="00E479F1">
              <w:rPr>
                <w:rFonts w:ascii="Arial" w:hAnsi="Arial" w:cs="Arial"/>
                <w:sz w:val="22"/>
                <w:szCs w:val="22"/>
              </w:rPr>
              <w:t>crutiny of care triggers the requirement for further investigation.</w:t>
            </w:r>
          </w:p>
        </w:tc>
        <w:tc>
          <w:tcPr>
            <w:tcW w:w="1986" w:type="dxa"/>
            <w:shd w:val="clear" w:color="auto" w:fill="auto"/>
          </w:tcPr>
          <w:p w:rsidR="001D5719" w:rsidRPr="001D5719" w:rsidRDefault="001D5719" w:rsidP="00E4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719">
              <w:rPr>
                <w:rFonts w:ascii="Arial" w:hAnsi="Arial" w:cs="Arial"/>
                <w:sz w:val="22"/>
                <w:szCs w:val="22"/>
              </w:rPr>
              <w:t>By exception</w:t>
            </w:r>
          </w:p>
        </w:tc>
      </w:tr>
    </w:tbl>
    <w:p w:rsidR="00A63D04" w:rsidRPr="008B54A9" w:rsidRDefault="00A63D04" w:rsidP="001D5719">
      <w:pPr>
        <w:spacing w:after="120"/>
        <w:jc w:val="both"/>
        <w:rPr>
          <w:rFonts w:ascii="Arial" w:hAnsi="Arial" w:cs="Arial"/>
          <w:b/>
          <w:sz w:val="28"/>
        </w:rPr>
      </w:pPr>
    </w:p>
    <w:sectPr w:rsidR="00A63D04" w:rsidRPr="008B54A9" w:rsidSect="00A26C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46" w:rsidRDefault="00AB4046">
      <w:r>
        <w:separator/>
      </w:r>
    </w:p>
  </w:endnote>
  <w:endnote w:type="continuationSeparator" w:id="0">
    <w:p w:rsidR="00AB4046" w:rsidRDefault="00AB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916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062F" w:rsidRDefault="004B062F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CC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26C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26CC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26C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2C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26C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6CC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26C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26CC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26C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2C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A26C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B062F" w:rsidRDefault="004B062F" w:rsidP="00A26CCE">
            <w:pPr>
              <w:pStyle w:val="Footer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62F" w:rsidRDefault="004B062F" w:rsidP="00A26CCE">
            <w:pPr>
              <w:pStyle w:val="Foot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6CCE">
              <w:rPr>
                <w:rFonts w:ascii="Arial" w:hAnsi="Arial" w:cs="Arial"/>
                <w:bCs/>
                <w:sz w:val="20"/>
                <w:szCs w:val="20"/>
              </w:rPr>
              <w:t>Reviewing Inpatient Deaths Policy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Issue Date:</w:t>
            </w:r>
            <w:r w:rsidR="00D62CFD">
              <w:rPr>
                <w:rFonts w:ascii="Arial" w:hAnsi="Arial" w:cs="Arial"/>
                <w:bCs/>
                <w:sz w:val="20"/>
                <w:szCs w:val="20"/>
              </w:rPr>
              <w:t xml:space="preserve"> 28/11/2017</w:t>
            </w:r>
          </w:p>
          <w:p w:rsidR="004B062F" w:rsidRDefault="004B062F" w:rsidP="00A26CCE">
            <w:pPr>
              <w:pStyle w:val="Foot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062F" w:rsidRPr="00A26CCE" w:rsidRDefault="004B062F" w:rsidP="00A26CCE">
            <w:pPr>
              <w:pStyle w:val="Footer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Version: 001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2F" w:rsidRDefault="004B062F" w:rsidP="00A63D04">
    <w:pPr>
      <w:pStyle w:val="Footer"/>
      <w:jc w:val="center"/>
    </w:pPr>
    <w:r w:rsidRPr="00A63D04">
      <w:t xml:space="preserve"> </w:t>
    </w:r>
  </w:p>
  <w:sdt>
    <w:sdtPr>
      <w:id w:val="677154290"/>
      <w:docPartObj>
        <w:docPartGallery w:val="Page Numbers (Bottom of Page)"/>
        <w:docPartUnique/>
      </w:docPartObj>
    </w:sdtPr>
    <w:sdtEndPr/>
    <w:sdtContent>
      <w:sdt>
        <w:sdtPr>
          <w:id w:val="-546752986"/>
          <w:docPartObj>
            <w:docPartGallery w:val="Page Numbers (Top of Page)"/>
            <w:docPartUnique/>
          </w:docPartObj>
        </w:sdtPr>
        <w:sdtEndPr/>
        <w:sdtContent>
          <w:p w:rsidR="004B062F" w:rsidRDefault="004B062F" w:rsidP="00A26CCE">
            <w:pPr>
              <w:pStyle w:val="Footer"/>
              <w:tabs>
                <w:tab w:val="clear" w:pos="4513"/>
                <w:tab w:val="left" w:pos="3869"/>
                <w:tab w:val="center" w:pos="45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ab/>
            </w:r>
            <w:r>
              <w:tab/>
            </w:r>
            <w:r w:rsidRPr="000F6E5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2C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F6E5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2C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B062F" w:rsidRDefault="004B062F" w:rsidP="00A63D04">
            <w:pPr>
              <w:pStyle w:val="Footer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62F" w:rsidRDefault="004B062F" w:rsidP="00A63D04">
            <w:pPr>
              <w:pStyle w:val="Foot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6E5B">
              <w:rPr>
                <w:rFonts w:ascii="Arial" w:hAnsi="Arial" w:cs="Arial"/>
                <w:bCs/>
                <w:sz w:val="20"/>
                <w:szCs w:val="20"/>
              </w:rPr>
              <w:t>Reviewing Inpatient Deaths Policy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Issue Date:</w:t>
            </w:r>
            <w:r w:rsidR="00D62CFD">
              <w:rPr>
                <w:rFonts w:ascii="Arial" w:hAnsi="Arial" w:cs="Arial"/>
                <w:bCs/>
                <w:sz w:val="20"/>
                <w:szCs w:val="20"/>
              </w:rPr>
              <w:t xml:space="preserve"> 28/11/2017</w:t>
            </w:r>
          </w:p>
          <w:p w:rsidR="004B062F" w:rsidRDefault="004B062F" w:rsidP="00A63D04">
            <w:pPr>
              <w:pStyle w:val="Foot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062F" w:rsidRPr="000F6E5B" w:rsidRDefault="004B062F" w:rsidP="00A63D04">
            <w:pPr>
              <w:pStyle w:val="Footer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Version: 001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2F" w:rsidRDefault="004B062F">
    <w:pPr>
      <w:pStyle w:val="Footer"/>
      <w:jc w:val="right"/>
    </w:pPr>
  </w:p>
  <w:sdt>
    <w:sdtPr>
      <w:id w:val="607162812"/>
      <w:docPartObj>
        <w:docPartGallery w:val="Page Numbers (Bottom of Page)"/>
        <w:docPartUnique/>
      </w:docPartObj>
    </w:sdtPr>
    <w:sdtEndPr/>
    <w:sdtContent>
      <w:sdt>
        <w:sdtPr>
          <w:id w:val="1121885492"/>
          <w:docPartObj>
            <w:docPartGallery w:val="Page Numbers (Top of Page)"/>
            <w:docPartUnique/>
          </w:docPartObj>
        </w:sdtPr>
        <w:sdtEndPr/>
        <w:sdtContent>
          <w:p w:rsidR="004B062F" w:rsidRDefault="004B062F" w:rsidP="00A63D04">
            <w:pPr>
              <w:pStyle w:val="Footer"/>
              <w:tabs>
                <w:tab w:val="clear" w:pos="4513"/>
                <w:tab w:val="left" w:pos="3869"/>
                <w:tab w:val="center" w:pos="45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ab/>
            </w:r>
            <w:r>
              <w:tab/>
            </w:r>
            <w:r w:rsidRPr="000F6E5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2C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F6E5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2C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0F6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B062F" w:rsidRDefault="004B062F" w:rsidP="00A63D04">
            <w:pPr>
              <w:pStyle w:val="Footer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62F" w:rsidRDefault="004B062F" w:rsidP="00A63D04">
            <w:pPr>
              <w:pStyle w:val="Foot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6E5B">
              <w:rPr>
                <w:rFonts w:ascii="Arial" w:hAnsi="Arial" w:cs="Arial"/>
                <w:bCs/>
                <w:sz w:val="20"/>
                <w:szCs w:val="20"/>
              </w:rPr>
              <w:t>Reviewing Inpatient Deaths Policy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Issue Date:</w:t>
            </w:r>
            <w:r w:rsidR="00D62CFD" w:rsidRPr="00D62C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62CFD">
              <w:rPr>
                <w:rFonts w:ascii="Arial" w:hAnsi="Arial" w:cs="Arial"/>
                <w:bCs/>
                <w:sz w:val="20"/>
                <w:szCs w:val="20"/>
              </w:rPr>
              <w:t>28/11/2017</w:t>
            </w:r>
          </w:p>
          <w:p w:rsidR="004B062F" w:rsidRDefault="004B062F" w:rsidP="00A63D04">
            <w:pPr>
              <w:pStyle w:val="Foot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062F" w:rsidRPr="00A26CCE" w:rsidRDefault="004B062F" w:rsidP="00A26CCE">
            <w:pPr>
              <w:pStyle w:val="Footer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Version: 001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46" w:rsidRDefault="00AB4046">
      <w:r>
        <w:separator/>
      </w:r>
    </w:p>
  </w:footnote>
  <w:footnote w:type="continuationSeparator" w:id="0">
    <w:p w:rsidR="00AB4046" w:rsidRDefault="00AB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C36"/>
    <w:multiLevelType w:val="hybridMultilevel"/>
    <w:tmpl w:val="BE5A101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2733B72"/>
    <w:multiLevelType w:val="multilevel"/>
    <w:tmpl w:val="8798496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43"/>
        </w:tabs>
        <w:ind w:left="1843" w:hanging="85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2552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4536"/>
        </w:tabs>
        <w:ind w:left="4536" w:hanging="56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B044AF2"/>
    <w:multiLevelType w:val="multilevel"/>
    <w:tmpl w:val="D8860652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113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35"/>
        </w:tabs>
        <w:ind w:left="3402" w:hanging="113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17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BD10A44"/>
    <w:multiLevelType w:val="hybridMultilevel"/>
    <w:tmpl w:val="1FD45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43CA1"/>
    <w:multiLevelType w:val="multilevel"/>
    <w:tmpl w:val="ED7C521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4"/>
      </w:rPr>
    </w:lvl>
  </w:abstractNum>
  <w:abstractNum w:abstractNumId="5">
    <w:nsid w:val="57897865"/>
    <w:multiLevelType w:val="multilevel"/>
    <w:tmpl w:val="3CF265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8AF2863"/>
    <w:multiLevelType w:val="hybridMultilevel"/>
    <w:tmpl w:val="1D7A5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63464"/>
    <w:multiLevelType w:val="multilevel"/>
    <w:tmpl w:val="E54C57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D63725"/>
    <w:multiLevelType w:val="multilevel"/>
    <w:tmpl w:val="7DA24C6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5C"/>
    <w:rsid w:val="00014440"/>
    <w:rsid w:val="00022241"/>
    <w:rsid w:val="000259C2"/>
    <w:rsid w:val="000838F0"/>
    <w:rsid w:val="00086448"/>
    <w:rsid w:val="00122840"/>
    <w:rsid w:val="00124F6D"/>
    <w:rsid w:val="00167732"/>
    <w:rsid w:val="00172429"/>
    <w:rsid w:val="00197EB1"/>
    <w:rsid w:val="001C6BA0"/>
    <w:rsid w:val="001D5719"/>
    <w:rsid w:val="001E4399"/>
    <w:rsid w:val="001F4327"/>
    <w:rsid w:val="002C52B0"/>
    <w:rsid w:val="002D756F"/>
    <w:rsid w:val="00300ADC"/>
    <w:rsid w:val="00313FBC"/>
    <w:rsid w:val="003570AB"/>
    <w:rsid w:val="003D5870"/>
    <w:rsid w:val="0045757B"/>
    <w:rsid w:val="004B062F"/>
    <w:rsid w:val="004B5D88"/>
    <w:rsid w:val="004F0394"/>
    <w:rsid w:val="00530EEC"/>
    <w:rsid w:val="005772D6"/>
    <w:rsid w:val="00601731"/>
    <w:rsid w:val="00644360"/>
    <w:rsid w:val="0064734B"/>
    <w:rsid w:val="00656E8F"/>
    <w:rsid w:val="006630C6"/>
    <w:rsid w:val="00676F95"/>
    <w:rsid w:val="006F74F8"/>
    <w:rsid w:val="007012F1"/>
    <w:rsid w:val="00773CB7"/>
    <w:rsid w:val="00774B2B"/>
    <w:rsid w:val="00774E1C"/>
    <w:rsid w:val="00776772"/>
    <w:rsid w:val="00777169"/>
    <w:rsid w:val="007D1BF3"/>
    <w:rsid w:val="007F76F2"/>
    <w:rsid w:val="008661C9"/>
    <w:rsid w:val="008B54A9"/>
    <w:rsid w:val="008F27C0"/>
    <w:rsid w:val="00917FB9"/>
    <w:rsid w:val="0097056F"/>
    <w:rsid w:val="00971956"/>
    <w:rsid w:val="009A5C6C"/>
    <w:rsid w:val="009E34D3"/>
    <w:rsid w:val="00A26CCE"/>
    <w:rsid w:val="00A46231"/>
    <w:rsid w:val="00A5475E"/>
    <w:rsid w:val="00A63D04"/>
    <w:rsid w:val="00A663CE"/>
    <w:rsid w:val="00AB0A25"/>
    <w:rsid w:val="00AB4046"/>
    <w:rsid w:val="00B03295"/>
    <w:rsid w:val="00B13828"/>
    <w:rsid w:val="00B553BE"/>
    <w:rsid w:val="00B760DE"/>
    <w:rsid w:val="00C14CEC"/>
    <w:rsid w:val="00C15BE0"/>
    <w:rsid w:val="00C20899"/>
    <w:rsid w:val="00CD145C"/>
    <w:rsid w:val="00D42F40"/>
    <w:rsid w:val="00D62CFD"/>
    <w:rsid w:val="00D9373D"/>
    <w:rsid w:val="00E13A95"/>
    <w:rsid w:val="00E479F1"/>
    <w:rsid w:val="00EC025E"/>
    <w:rsid w:val="00F356EA"/>
    <w:rsid w:val="00F41562"/>
    <w:rsid w:val="00F432FC"/>
    <w:rsid w:val="00F51643"/>
    <w:rsid w:val="00F8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9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145C"/>
    <w:pPr>
      <w:tabs>
        <w:tab w:val="center" w:pos="4153"/>
        <w:tab w:val="right" w:pos="8306"/>
      </w:tabs>
      <w:spacing w:before="200" w:after="200"/>
      <w:jc w:val="both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CD145C"/>
    <w:rPr>
      <w:rFonts w:ascii="Arial" w:eastAsia="Times New Roman" w:hAnsi="Arial" w:cs="Times New Roman"/>
      <w:szCs w:val="24"/>
      <w:lang w:eastAsia="en-GB"/>
    </w:rPr>
  </w:style>
  <w:style w:type="paragraph" w:styleId="Title">
    <w:name w:val="Title"/>
    <w:basedOn w:val="Normal"/>
    <w:link w:val="TitleChar"/>
    <w:qFormat/>
    <w:rsid w:val="00CD145C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CD145C"/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2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771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5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8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56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56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D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79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9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145C"/>
    <w:pPr>
      <w:tabs>
        <w:tab w:val="center" w:pos="4153"/>
        <w:tab w:val="right" w:pos="8306"/>
      </w:tabs>
      <w:spacing w:before="200" w:after="200"/>
      <w:jc w:val="both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CD145C"/>
    <w:rPr>
      <w:rFonts w:ascii="Arial" w:eastAsia="Times New Roman" w:hAnsi="Arial" w:cs="Times New Roman"/>
      <w:szCs w:val="24"/>
      <w:lang w:eastAsia="en-GB"/>
    </w:rPr>
  </w:style>
  <w:style w:type="paragraph" w:styleId="Title">
    <w:name w:val="Title"/>
    <w:basedOn w:val="Normal"/>
    <w:link w:val="TitleChar"/>
    <w:qFormat/>
    <w:rsid w:val="00CD145C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CD145C"/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2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771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5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8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56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56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D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79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DA7D-C3BF-43A3-9D36-377E6607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Goodwin</dc:creator>
  <cp:lastModifiedBy>Heart of England Foundation Trust</cp:lastModifiedBy>
  <cp:revision>10</cp:revision>
  <dcterms:created xsi:type="dcterms:W3CDTF">2017-10-30T18:40:00Z</dcterms:created>
  <dcterms:modified xsi:type="dcterms:W3CDTF">2017-11-30T13:28:00Z</dcterms:modified>
</cp:coreProperties>
</file>