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E7" w:rsidRPr="00CD4AA4" w:rsidRDefault="00CF3E1B" w:rsidP="00712AE7">
      <w:pPr>
        <w:pStyle w:val="Header"/>
        <w:jc w:val="right"/>
        <w:rPr>
          <w:rFonts w:ascii="Calibri" w:hAnsi="Calibri"/>
          <w:sz w:val="22"/>
          <w:szCs w:val="22"/>
        </w:rPr>
      </w:pPr>
      <w:r>
        <w:rPr>
          <w:rFonts w:ascii="Calibri" w:hAnsi="Calibri"/>
          <w:noProof/>
          <w:sz w:val="22"/>
          <w:szCs w:val="22"/>
          <w:lang w:val="en-GB" w:eastAsia="en-GB"/>
        </w:rPr>
        <w:drawing>
          <wp:inline distT="0" distB="0" distL="0" distR="0">
            <wp:extent cx="2379345" cy="804545"/>
            <wp:effectExtent l="0" t="0" r="8255" b="8255"/>
            <wp:docPr id="1" name="Picture 1" descr="Description: 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9345" cy="804545"/>
                    </a:xfrm>
                    <a:prstGeom prst="rect">
                      <a:avLst/>
                    </a:prstGeom>
                    <a:noFill/>
                    <a:ln>
                      <a:noFill/>
                    </a:ln>
                  </pic:spPr>
                </pic:pic>
              </a:graphicData>
            </a:graphic>
          </wp:inline>
        </w:drawing>
      </w:r>
    </w:p>
    <w:p w:rsidR="00712AE7" w:rsidRPr="00CD4AA4" w:rsidRDefault="00712AE7" w:rsidP="00712AE7">
      <w:pPr>
        <w:pStyle w:val="Header"/>
        <w:jc w:val="right"/>
        <w:rPr>
          <w:rFonts w:ascii="Calibri" w:hAnsi="Calibri"/>
          <w:sz w:val="22"/>
          <w:szCs w:val="22"/>
        </w:rPr>
      </w:pPr>
    </w:p>
    <w:p w:rsidR="00712AE7" w:rsidRPr="00B52C5F" w:rsidRDefault="00712AE7" w:rsidP="00712AE7">
      <w:pPr>
        <w:jc w:val="center"/>
        <w:rPr>
          <w:rFonts w:cs="Arial"/>
        </w:rPr>
      </w:pPr>
    </w:p>
    <w:p w:rsidR="00712AE7" w:rsidRPr="00CD4AA4" w:rsidRDefault="00712AE7" w:rsidP="00712AE7">
      <w:pPr>
        <w:jc w:val="center"/>
        <w:rPr>
          <w:rFonts w:cs="Arial"/>
          <w:b/>
        </w:rPr>
      </w:pPr>
    </w:p>
    <w:p w:rsidR="00712AE7" w:rsidRPr="00CD4AA4" w:rsidRDefault="00712AE7" w:rsidP="00712AE7">
      <w:pPr>
        <w:jc w:val="center"/>
        <w:rPr>
          <w:rFonts w:cs="Arial"/>
          <w:b/>
        </w:rPr>
      </w:pPr>
    </w:p>
    <w:p w:rsidR="00712AE7" w:rsidRPr="00CD4AA4" w:rsidRDefault="00712AE7" w:rsidP="00712AE7">
      <w:pPr>
        <w:jc w:val="center"/>
        <w:rPr>
          <w:rFonts w:cs="Arial"/>
          <w:b/>
        </w:rPr>
      </w:pPr>
    </w:p>
    <w:p w:rsidR="00712AE7" w:rsidRDefault="00712AE7" w:rsidP="00712AE7">
      <w:pPr>
        <w:jc w:val="center"/>
        <w:rPr>
          <w:rFonts w:ascii="Arial" w:hAnsi="Arial" w:cs="Arial"/>
          <w:sz w:val="44"/>
          <w:szCs w:val="44"/>
        </w:rPr>
      </w:pPr>
      <w:r w:rsidRPr="00B52C5F">
        <w:rPr>
          <w:rFonts w:ascii="Arial" w:hAnsi="Arial" w:cs="Arial"/>
          <w:sz w:val="44"/>
          <w:szCs w:val="44"/>
        </w:rPr>
        <w:t>Public Sector Equality Duty</w:t>
      </w:r>
    </w:p>
    <w:p w:rsidR="00B52C5F" w:rsidRPr="00B52C5F" w:rsidRDefault="00B52C5F" w:rsidP="00712AE7">
      <w:pPr>
        <w:jc w:val="center"/>
        <w:rPr>
          <w:rFonts w:ascii="Arial" w:hAnsi="Arial" w:cs="Arial"/>
          <w:sz w:val="44"/>
          <w:szCs w:val="44"/>
        </w:rPr>
      </w:pPr>
    </w:p>
    <w:p w:rsidR="00712AE7" w:rsidRDefault="00712AE7" w:rsidP="00712AE7">
      <w:pPr>
        <w:jc w:val="center"/>
        <w:rPr>
          <w:rFonts w:ascii="Arial" w:hAnsi="Arial" w:cs="Arial"/>
          <w:sz w:val="44"/>
          <w:szCs w:val="44"/>
        </w:rPr>
      </w:pPr>
      <w:r w:rsidRPr="00B52C5F">
        <w:rPr>
          <w:rFonts w:ascii="Arial" w:hAnsi="Arial" w:cs="Arial"/>
          <w:sz w:val="44"/>
          <w:szCs w:val="44"/>
        </w:rPr>
        <w:t>Annual Workforce Equality Monitoring Report</w:t>
      </w:r>
    </w:p>
    <w:p w:rsidR="00B52C5F" w:rsidRPr="00B52C5F" w:rsidRDefault="00B52C5F" w:rsidP="00712AE7">
      <w:pPr>
        <w:jc w:val="center"/>
        <w:rPr>
          <w:rFonts w:ascii="Arial" w:hAnsi="Arial" w:cs="Arial"/>
          <w:sz w:val="44"/>
          <w:szCs w:val="44"/>
        </w:rPr>
      </w:pPr>
      <w:bookmarkStart w:id="0" w:name="_GoBack"/>
      <w:bookmarkEnd w:id="0"/>
    </w:p>
    <w:p w:rsidR="00712AE7" w:rsidRPr="00B52C5F" w:rsidRDefault="00712AE7" w:rsidP="00712AE7">
      <w:pPr>
        <w:jc w:val="center"/>
        <w:rPr>
          <w:rFonts w:ascii="Arial" w:hAnsi="Arial" w:cs="Arial"/>
          <w:sz w:val="44"/>
          <w:szCs w:val="44"/>
        </w:rPr>
      </w:pPr>
      <w:r w:rsidRPr="00B52C5F">
        <w:rPr>
          <w:rFonts w:ascii="Arial" w:hAnsi="Arial" w:cs="Arial"/>
          <w:sz w:val="44"/>
          <w:szCs w:val="44"/>
        </w:rPr>
        <w:t>Heart of England NHS Foundation Trust</w:t>
      </w:r>
    </w:p>
    <w:p w:rsidR="00712AE7" w:rsidRPr="00B52C5F" w:rsidRDefault="00712AE7" w:rsidP="00712AE7">
      <w:pPr>
        <w:jc w:val="center"/>
        <w:rPr>
          <w:rFonts w:ascii="Arial" w:hAnsi="Arial" w:cs="Arial"/>
          <w:sz w:val="44"/>
          <w:szCs w:val="44"/>
        </w:rPr>
      </w:pPr>
    </w:p>
    <w:p w:rsidR="00712AE7" w:rsidRPr="00B52C5F" w:rsidRDefault="00712AE7" w:rsidP="00712AE7">
      <w:pPr>
        <w:jc w:val="center"/>
        <w:rPr>
          <w:rFonts w:ascii="Arial" w:hAnsi="Arial" w:cs="Arial"/>
          <w:sz w:val="44"/>
          <w:szCs w:val="44"/>
        </w:rPr>
      </w:pPr>
      <w:r w:rsidRPr="00B52C5F">
        <w:rPr>
          <w:rFonts w:ascii="Arial" w:hAnsi="Arial" w:cs="Arial"/>
          <w:sz w:val="44"/>
          <w:szCs w:val="44"/>
        </w:rPr>
        <w:t>201</w:t>
      </w:r>
      <w:r w:rsidR="00B07A78" w:rsidRPr="00B52C5F">
        <w:rPr>
          <w:rFonts w:ascii="Arial" w:hAnsi="Arial" w:cs="Arial"/>
          <w:sz w:val="44"/>
          <w:szCs w:val="44"/>
        </w:rPr>
        <w:t>6</w:t>
      </w:r>
    </w:p>
    <w:p w:rsidR="00712AE7" w:rsidRPr="00B52C5F" w:rsidRDefault="00712AE7" w:rsidP="00712AE7">
      <w:pPr>
        <w:jc w:val="both"/>
        <w:rPr>
          <w:rFonts w:cs="Arial"/>
        </w:rPr>
      </w:pPr>
    </w:p>
    <w:p w:rsidR="00712AE7" w:rsidRPr="00CD4AA4" w:rsidRDefault="00712AE7" w:rsidP="00712AE7">
      <w:pPr>
        <w:jc w:val="both"/>
        <w:rPr>
          <w:rFonts w:cs="Arial"/>
          <w:b/>
        </w:rPr>
      </w:pPr>
    </w:p>
    <w:p w:rsidR="00712AE7" w:rsidRPr="00CD4AA4" w:rsidRDefault="00712AE7" w:rsidP="00AD71A2">
      <w:pPr>
        <w:rPr>
          <w:rFonts w:ascii="Arial" w:hAnsi="Arial" w:cs="Arial"/>
          <w:b/>
        </w:rPr>
      </w:pPr>
      <w:r w:rsidRPr="00CD4AA4">
        <w:rPr>
          <w:rFonts w:cs="Arial"/>
          <w:b/>
        </w:rPr>
        <w:br w:type="page"/>
      </w:r>
      <w:r w:rsidRPr="00CD4AA4">
        <w:rPr>
          <w:rFonts w:ascii="Arial" w:hAnsi="Arial" w:cs="Arial"/>
          <w:b/>
        </w:rPr>
        <w:lastRenderedPageBreak/>
        <w:t>Executive Summary</w:t>
      </w:r>
    </w:p>
    <w:p w:rsidR="00712AE7" w:rsidRPr="00CD4AA4" w:rsidRDefault="00712AE7" w:rsidP="00CC4AC8">
      <w:pPr>
        <w:jc w:val="both"/>
        <w:rPr>
          <w:rFonts w:ascii="Arial" w:hAnsi="Arial" w:cs="Arial"/>
        </w:rPr>
      </w:pPr>
      <w:r w:rsidRPr="00CD4AA4">
        <w:rPr>
          <w:rFonts w:ascii="Arial" w:hAnsi="Arial" w:cs="Arial"/>
        </w:rPr>
        <w:t xml:space="preserve">Each public sector body is required by the specific requirements of the Public Sector Equality Duty to publish data annually to show it is compliant with the general aims of the duty.  To ensure we are compliant with the duty equality reports are produced in relation to both workforce and service users.  </w:t>
      </w:r>
    </w:p>
    <w:p w:rsidR="00712AE7" w:rsidRPr="00CD4AA4" w:rsidRDefault="00712AE7" w:rsidP="00AD71A2">
      <w:pPr>
        <w:rPr>
          <w:rFonts w:cs="Arial"/>
          <w:b/>
        </w:rPr>
      </w:pPr>
      <w:r w:rsidRPr="00CD4AA4">
        <w:rPr>
          <w:rFonts w:ascii="Arial" w:hAnsi="Arial" w:cs="Arial"/>
          <w:b/>
        </w:rPr>
        <w:t>Aims of the Report</w:t>
      </w:r>
    </w:p>
    <w:p w:rsidR="00712AE7" w:rsidRPr="00CD4AA4" w:rsidRDefault="00712AE7" w:rsidP="00CC4AC8">
      <w:pPr>
        <w:jc w:val="both"/>
        <w:rPr>
          <w:rFonts w:ascii="Arial" w:hAnsi="Arial" w:cs="Arial"/>
        </w:rPr>
      </w:pPr>
      <w:r w:rsidRPr="00CD4AA4">
        <w:rPr>
          <w:rFonts w:ascii="Arial" w:hAnsi="Arial" w:cs="Arial"/>
        </w:rPr>
        <w:t>This report covers the main aspects of workforce data including workforce demographics, recruitment and selection, NHS Staff Survey, employee relations (disciplinary and grievance), mandatory training and development (appraisals) across the protected group</w:t>
      </w:r>
      <w:r w:rsidR="00CC4AC8">
        <w:rPr>
          <w:rFonts w:ascii="Arial" w:hAnsi="Arial" w:cs="Arial"/>
        </w:rPr>
        <w:t xml:space="preserve">s, where this data is available. </w:t>
      </w:r>
      <w:r w:rsidR="00CC4AC8" w:rsidRPr="00CD4AA4">
        <w:rPr>
          <w:rFonts w:ascii="Arial" w:hAnsi="Arial" w:cs="Arial"/>
        </w:rPr>
        <w:t>The report helps us to identify potential disadvantages for any protected groups and to support the development of further actions.</w:t>
      </w:r>
      <w:r w:rsidR="00CC4AC8">
        <w:rPr>
          <w:rFonts w:ascii="Arial" w:hAnsi="Arial" w:cs="Arial"/>
        </w:rPr>
        <w:t xml:space="preserve"> </w:t>
      </w:r>
      <w:r w:rsidR="00612318">
        <w:rPr>
          <w:rFonts w:ascii="Arial" w:hAnsi="Arial" w:cs="Arial"/>
        </w:rPr>
        <w:t>It should be noted that any comparisons or data relating to the NHS Staff Survey are based on responses to the 2014 Survey as the 2015 information was not available at the time of writing this report.</w:t>
      </w:r>
    </w:p>
    <w:p w:rsidR="00712AE7" w:rsidRPr="00CD4AA4" w:rsidRDefault="00712AE7" w:rsidP="00CC4AC8">
      <w:pPr>
        <w:jc w:val="both"/>
        <w:rPr>
          <w:rFonts w:ascii="Arial" w:hAnsi="Arial" w:cs="Arial"/>
        </w:rPr>
      </w:pPr>
      <w:r w:rsidRPr="00CD4AA4">
        <w:rPr>
          <w:rFonts w:ascii="Arial" w:hAnsi="Arial" w:cs="Arial"/>
        </w:rPr>
        <w:t xml:space="preserve">The report is collated by the Trust’s Workforce Information and Analysis Team and presented to </w:t>
      </w:r>
      <w:r w:rsidR="001E0A5E">
        <w:rPr>
          <w:rFonts w:ascii="Arial" w:hAnsi="Arial" w:cs="Arial"/>
        </w:rPr>
        <w:t xml:space="preserve">the appropriate </w:t>
      </w:r>
      <w:r w:rsidR="00B460CE">
        <w:rPr>
          <w:rFonts w:ascii="Arial" w:hAnsi="Arial" w:cs="Arial"/>
        </w:rPr>
        <w:t xml:space="preserve">Committee </w:t>
      </w:r>
      <w:r w:rsidRPr="00CD4AA4">
        <w:rPr>
          <w:rFonts w:ascii="Arial" w:hAnsi="Arial" w:cs="Arial"/>
        </w:rPr>
        <w:t xml:space="preserve">for review.  </w:t>
      </w:r>
    </w:p>
    <w:p w:rsidR="00712AE7" w:rsidRPr="00273F7C" w:rsidRDefault="00712AE7" w:rsidP="00CC4AC8">
      <w:pPr>
        <w:jc w:val="both"/>
        <w:rPr>
          <w:rFonts w:ascii="Arial" w:hAnsi="Arial" w:cs="Arial"/>
          <w:b/>
        </w:rPr>
      </w:pPr>
      <w:r w:rsidRPr="00273F7C">
        <w:rPr>
          <w:rFonts w:ascii="Arial" w:hAnsi="Arial" w:cs="Arial"/>
          <w:b/>
        </w:rPr>
        <w:t>Review of 20</w:t>
      </w:r>
      <w:r w:rsidR="00B07A78">
        <w:rPr>
          <w:rFonts w:ascii="Arial" w:hAnsi="Arial" w:cs="Arial"/>
          <w:b/>
        </w:rPr>
        <w:t xml:space="preserve">14/15 </w:t>
      </w:r>
      <w:r w:rsidRPr="00273F7C">
        <w:rPr>
          <w:rFonts w:ascii="Arial" w:hAnsi="Arial" w:cs="Arial"/>
          <w:b/>
        </w:rPr>
        <w:t>Actions</w:t>
      </w:r>
    </w:p>
    <w:p w:rsidR="00712AE7" w:rsidRPr="00CC4AC8" w:rsidRDefault="00712AE7" w:rsidP="00CC4AC8">
      <w:pPr>
        <w:jc w:val="both"/>
        <w:rPr>
          <w:rFonts w:ascii="Arial" w:hAnsi="Arial" w:cs="Arial"/>
          <w:b/>
        </w:rPr>
      </w:pPr>
      <w:r w:rsidRPr="00CC4AC8">
        <w:rPr>
          <w:rFonts w:ascii="Arial" w:hAnsi="Arial" w:cs="Arial"/>
          <w:b/>
        </w:rPr>
        <w:t xml:space="preserve">Action – Step </w:t>
      </w:r>
      <w:r w:rsidR="00407586">
        <w:rPr>
          <w:rFonts w:ascii="Arial" w:hAnsi="Arial" w:cs="Arial"/>
          <w:b/>
        </w:rPr>
        <w:t xml:space="preserve">In </w:t>
      </w:r>
      <w:r w:rsidRPr="00CC4AC8">
        <w:rPr>
          <w:rFonts w:ascii="Arial" w:hAnsi="Arial" w:cs="Arial"/>
          <w:b/>
        </w:rPr>
        <w:t xml:space="preserve">Work and Apprenticeships </w:t>
      </w:r>
    </w:p>
    <w:p w:rsidR="00712AE7" w:rsidRPr="008E6BA1" w:rsidRDefault="00712AE7" w:rsidP="00CC4AC8">
      <w:pPr>
        <w:jc w:val="both"/>
        <w:rPr>
          <w:rFonts w:ascii="Arial" w:hAnsi="Arial" w:cs="Arial"/>
          <w:i/>
        </w:rPr>
      </w:pPr>
      <w:r w:rsidRPr="008E6BA1">
        <w:rPr>
          <w:rFonts w:ascii="Arial" w:hAnsi="Arial" w:cs="Arial"/>
          <w:i/>
        </w:rPr>
        <w:t xml:space="preserve">Continuation of the Step </w:t>
      </w:r>
      <w:r w:rsidR="00407586" w:rsidRPr="008E6BA1">
        <w:rPr>
          <w:rFonts w:ascii="Arial" w:hAnsi="Arial" w:cs="Arial"/>
          <w:i/>
        </w:rPr>
        <w:t xml:space="preserve">In </w:t>
      </w:r>
      <w:r w:rsidRPr="008E6BA1">
        <w:rPr>
          <w:rFonts w:ascii="Arial" w:hAnsi="Arial" w:cs="Arial"/>
          <w:i/>
        </w:rPr>
        <w:t>Work and Apprenticeship programmes through the Faculty of Education.</w:t>
      </w:r>
    </w:p>
    <w:p w:rsidR="00712AE7" w:rsidRPr="00CC4AC8" w:rsidRDefault="00B23A3A" w:rsidP="00CC4AC8">
      <w:pPr>
        <w:jc w:val="both"/>
        <w:rPr>
          <w:rFonts w:ascii="Arial" w:hAnsi="Arial" w:cs="Arial"/>
          <w:b/>
        </w:rPr>
      </w:pPr>
      <w:r w:rsidRPr="00CC4AC8">
        <w:rPr>
          <w:rFonts w:ascii="Arial" w:hAnsi="Arial" w:cs="Arial"/>
          <w:b/>
        </w:rPr>
        <w:t>Progress:</w:t>
      </w:r>
    </w:p>
    <w:p w:rsidR="00664C6D" w:rsidRPr="00B460CE" w:rsidRDefault="00712AE7" w:rsidP="00664C6D">
      <w:pPr>
        <w:rPr>
          <w:rFonts w:ascii="Arial" w:hAnsi="Arial" w:cs="Arial"/>
          <w:lang w:eastAsia="en-GB"/>
        </w:rPr>
      </w:pPr>
      <w:r w:rsidRPr="00B460CE">
        <w:rPr>
          <w:rFonts w:ascii="Arial" w:hAnsi="Arial" w:cs="Arial"/>
        </w:rPr>
        <w:t>For 201</w:t>
      </w:r>
      <w:r w:rsidR="00664C6D" w:rsidRPr="00B460CE">
        <w:rPr>
          <w:rFonts w:ascii="Arial" w:hAnsi="Arial" w:cs="Arial"/>
        </w:rPr>
        <w:t>4</w:t>
      </w:r>
      <w:r w:rsidRPr="00B460CE">
        <w:rPr>
          <w:rFonts w:ascii="Arial" w:hAnsi="Arial" w:cs="Arial"/>
        </w:rPr>
        <w:t>/1</w:t>
      </w:r>
      <w:r w:rsidR="00664C6D" w:rsidRPr="00B460CE">
        <w:rPr>
          <w:rFonts w:ascii="Arial" w:hAnsi="Arial" w:cs="Arial"/>
        </w:rPr>
        <w:t>5</w:t>
      </w:r>
      <w:r w:rsidRPr="00B460CE">
        <w:rPr>
          <w:rFonts w:ascii="Arial" w:hAnsi="Arial" w:cs="Arial"/>
        </w:rPr>
        <w:t xml:space="preserve"> there were </w:t>
      </w:r>
      <w:r w:rsidR="00664C6D" w:rsidRPr="00B460CE">
        <w:rPr>
          <w:rFonts w:ascii="Arial" w:hAnsi="Arial" w:cs="Arial"/>
        </w:rPr>
        <w:t>3</w:t>
      </w:r>
      <w:r w:rsidRPr="00B460CE">
        <w:rPr>
          <w:rFonts w:ascii="Arial" w:hAnsi="Arial" w:cs="Arial"/>
        </w:rPr>
        <w:t xml:space="preserve"> cohorts for Step </w:t>
      </w:r>
      <w:r w:rsidR="00664C6D" w:rsidRPr="00B460CE">
        <w:rPr>
          <w:rFonts w:ascii="Arial" w:hAnsi="Arial" w:cs="Arial"/>
        </w:rPr>
        <w:t xml:space="preserve">In </w:t>
      </w:r>
      <w:r w:rsidRPr="00B460CE">
        <w:rPr>
          <w:rFonts w:ascii="Arial" w:hAnsi="Arial" w:cs="Arial"/>
        </w:rPr>
        <w:t xml:space="preserve">Work, with </w:t>
      </w:r>
      <w:r w:rsidR="00664C6D" w:rsidRPr="00B460CE">
        <w:rPr>
          <w:rFonts w:ascii="Arial" w:hAnsi="Arial" w:cs="Arial"/>
        </w:rPr>
        <w:t xml:space="preserve">a total of 19 learners completing the programme of learning.  </w:t>
      </w:r>
      <w:r w:rsidR="00664C6D" w:rsidRPr="00B460CE">
        <w:rPr>
          <w:rFonts w:ascii="Arial" w:hAnsi="Arial" w:cs="Arial"/>
          <w:lang w:eastAsia="en-GB"/>
        </w:rPr>
        <w:t>The predicted target of 45 recruits for 2014/15 was not ach</w:t>
      </w:r>
      <w:r w:rsidR="00B460CE" w:rsidRPr="00B460CE">
        <w:rPr>
          <w:rFonts w:ascii="Arial" w:hAnsi="Arial" w:cs="Arial"/>
          <w:lang w:eastAsia="en-GB"/>
        </w:rPr>
        <w:t xml:space="preserve">ieved as the Trust had several </w:t>
      </w:r>
      <w:r w:rsidR="00664C6D" w:rsidRPr="00B460CE">
        <w:rPr>
          <w:rFonts w:ascii="Arial" w:hAnsi="Arial" w:cs="Arial"/>
          <w:lang w:eastAsia="en-GB"/>
        </w:rPr>
        <w:t>recruitment drives for experienced HCAs.</w:t>
      </w:r>
      <w:r w:rsidR="00664C6D" w:rsidRPr="00B460CE">
        <w:rPr>
          <w:rFonts w:ascii="Arial" w:hAnsi="Arial" w:cs="Arial"/>
          <w:lang w:eastAsia="en-GB"/>
        </w:rPr>
        <w:br/>
      </w:r>
      <w:r w:rsidR="00664C6D" w:rsidRPr="00B460CE">
        <w:rPr>
          <w:rFonts w:ascii="Arial" w:hAnsi="Arial" w:cs="Arial"/>
          <w:lang w:eastAsia="en-GB"/>
        </w:rPr>
        <w:br/>
        <w:t>The aim for 2015/16 is to develop Step In Work programmes to support training and devel</w:t>
      </w:r>
      <w:r w:rsidR="00B460CE" w:rsidRPr="00B460CE">
        <w:rPr>
          <w:rFonts w:ascii="Arial" w:hAnsi="Arial" w:cs="Arial"/>
          <w:lang w:eastAsia="en-GB"/>
        </w:rPr>
        <w:t>opment into non-clinical roles</w:t>
      </w:r>
      <w:r w:rsidR="00664C6D" w:rsidRPr="00B460CE">
        <w:rPr>
          <w:rFonts w:ascii="Arial" w:hAnsi="Arial" w:cs="Arial"/>
          <w:lang w:eastAsia="en-GB"/>
        </w:rPr>
        <w:t>.</w:t>
      </w:r>
    </w:p>
    <w:p w:rsidR="007F3C65" w:rsidRPr="00B460CE" w:rsidRDefault="00664C6D" w:rsidP="007F3C65">
      <w:pPr>
        <w:spacing w:line="240" w:lineRule="auto"/>
        <w:rPr>
          <w:rFonts w:ascii="Arial" w:hAnsi="Arial" w:cs="Arial"/>
        </w:rPr>
      </w:pPr>
      <w:r w:rsidRPr="00B460CE">
        <w:rPr>
          <w:rFonts w:ascii="Arial" w:hAnsi="Arial" w:cs="Arial"/>
        </w:rPr>
        <w:t>141</w:t>
      </w:r>
      <w:r w:rsidR="00CC4AC8" w:rsidRPr="00B460CE">
        <w:rPr>
          <w:rFonts w:ascii="Arial" w:hAnsi="Arial" w:cs="Arial"/>
        </w:rPr>
        <w:t xml:space="preserve"> apprenticeships were planned for 201</w:t>
      </w:r>
      <w:r w:rsidRPr="00B460CE">
        <w:rPr>
          <w:rFonts w:ascii="Arial" w:hAnsi="Arial" w:cs="Arial"/>
        </w:rPr>
        <w:t>4</w:t>
      </w:r>
      <w:r w:rsidR="00CC4AC8" w:rsidRPr="00B460CE">
        <w:rPr>
          <w:rFonts w:ascii="Arial" w:hAnsi="Arial" w:cs="Arial"/>
        </w:rPr>
        <w:t>/1</w:t>
      </w:r>
      <w:r w:rsidRPr="00B460CE">
        <w:rPr>
          <w:rFonts w:ascii="Arial" w:hAnsi="Arial" w:cs="Arial"/>
        </w:rPr>
        <w:t>5</w:t>
      </w:r>
      <w:r w:rsidR="00CC4AC8" w:rsidRPr="00B460CE">
        <w:rPr>
          <w:rFonts w:ascii="Arial" w:hAnsi="Arial" w:cs="Arial"/>
        </w:rPr>
        <w:t>, a</w:t>
      </w:r>
      <w:r w:rsidRPr="00B460CE">
        <w:rPr>
          <w:rFonts w:ascii="Arial" w:hAnsi="Arial" w:cs="Arial"/>
        </w:rPr>
        <w:t xml:space="preserve">n increase from 60 planned in 2013/14 due to an increase in target from the LETB.  As at </w:t>
      </w:r>
      <w:r w:rsidR="00CC4AC8" w:rsidRPr="00B460CE">
        <w:rPr>
          <w:rFonts w:ascii="Arial" w:hAnsi="Arial" w:cs="Arial"/>
        </w:rPr>
        <w:t>March 201</w:t>
      </w:r>
      <w:r w:rsidRPr="00B460CE">
        <w:rPr>
          <w:rFonts w:ascii="Arial" w:hAnsi="Arial" w:cs="Arial"/>
        </w:rPr>
        <w:t>5</w:t>
      </w:r>
      <w:r w:rsidR="00CC4AC8" w:rsidRPr="00B460CE">
        <w:rPr>
          <w:rFonts w:ascii="Arial" w:hAnsi="Arial" w:cs="Arial"/>
        </w:rPr>
        <w:t xml:space="preserve"> </w:t>
      </w:r>
      <w:r w:rsidRPr="00B460CE">
        <w:rPr>
          <w:rFonts w:ascii="Arial" w:hAnsi="Arial" w:cs="Arial"/>
        </w:rPr>
        <w:t>79</w:t>
      </w:r>
      <w:r w:rsidR="00CC4AC8" w:rsidRPr="00B460CE">
        <w:rPr>
          <w:rFonts w:ascii="Arial" w:hAnsi="Arial" w:cs="Arial"/>
        </w:rPr>
        <w:t xml:space="preserve"> members of staff had commenced, or were due to commence an apprentic</w:t>
      </w:r>
      <w:r w:rsidR="007F3C65" w:rsidRPr="00B460CE">
        <w:rPr>
          <w:rFonts w:ascii="Arial" w:hAnsi="Arial" w:cs="Arial"/>
        </w:rPr>
        <w:t>eship.</w:t>
      </w:r>
    </w:p>
    <w:p w:rsidR="00B07A78" w:rsidRDefault="00B07A78" w:rsidP="00CC4AC8">
      <w:pPr>
        <w:jc w:val="both"/>
        <w:rPr>
          <w:rFonts w:ascii="Arial" w:hAnsi="Arial" w:cs="Arial"/>
          <w:b/>
        </w:rPr>
      </w:pPr>
    </w:p>
    <w:p w:rsidR="00712AE7" w:rsidRPr="007F3C65" w:rsidRDefault="00712AE7" w:rsidP="00CC4AC8">
      <w:pPr>
        <w:jc w:val="both"/>
        <w:rPr>
          <w:rFonts w:ascii="Arial" w:hAnsi="Arial" w:cs="Arial"/>
          <w:b/>
        </w:rPr>
      </w:pPr>
      <w:r w:rsidRPr="007F3C65">
        <w:rPr>
          <w:rFonts w:ascii="Arial" w:hAnsi="Arial" w:cs="Arial"/>
          <w:b/>
        </w:rPr>
        <w:t>Action –</w:t>
      </w:r>
      <w:r w:rsidR="00E467FF">
        <w:rPr>
          <w:rFonts w:ascii="Arial" w:hAnsi="Arial" w:cs="Arial"/>
          <w:b/>
        </w:rPr>
        <w:t xml:space="preserve"> </w:t>
      </w:r>
      <w:r w:rsidR="00664C6D">
        <w:rPr>
          <w:rFonts w:ascii="Arial" w:hAnsi="Arial" w:cs="Arial"/>
          <w:b/>
        </w:rPr>
        <w:t>E</w:t>
      </w:r>
      <w:r w:rsidRPr="007F3C65">
        <w:rPr>
          <w:rFonts w:ascii="Arial" w:hAnsi="Arial" w:cs="Arial"/>
          <w:b/>
        </w:rPr>
        <w:t xml:space="preserve">quality and </w:t>
      </w:r>
      <w:r w:rsidR="00664C6D">
        <w:rPr>
          <w:rFonts w:ascii="Arial" w:hAnsi="Arial" w:cs="Arial"/>
          <w:b/>
        </w:rPr>
        <w:t>D</w:t>
      </w:r>
      <w:r w:rsidRPr="007F3C65">
        <w:rPr>
          <w:rFonts w:ascii="Arial" w:hAnsi="Arial" w:cs="Arial"/>
          <w:b/>
        </w:rPr>
        <w:t xml:space="preserve">iversity </w:t>
      </w:r>
      <w:r w:rsidR="00664C6D">
        <w:rPr>
          <w:rFonts w:ascii="Arial" w:hAnsi="Arial" w:cs="Arial"/>
          <w:b/>
        </w:rPr>
        <w:t>MOODLE Module</w:t>
      </w:r>
      <w:r w:rsidRPr="007F3C65">
        <w:rPr>
          <w:rFonts w:ascii="Arial" w:hAnsi="Arial" w:cs="Arial"/>
          <w:b/>
        </w:rPr>
        <w:t xml:space="preserve"> </w:t>
      </w:r>
    </w:p>
    <w:p w:rsidR="00712AE7" w:rsidRPr="007F3C65" w:rsidRDefault="00712AE7" w:rsidP="00CC4AC8">
      <w:pPr>
        <w:jc w:val="both"/>
        <w:rPr>
          <w:rFonts w:ascii="Arial" w:hAnsi="Arial" w:cs="Arial"/>
          <w:b/>
        </w:rPr>
      </w:pPr>
      <w:r w:rsidRPr="007F3C65">
        <w:rPr>
          <w:rFonts w:ascii="Arial" w:hAnsi="Arial" w:cs="Arial"/>
          <w:b/>
        </w:rPr>
        <w:t>Progress</w:t>
      </w:r>
    </w:p>
    <w:p w:rsidR="00712AE7" w:rsidRPr="00B460CE" w:rsidRDefault="00712AE7" w:rsidP="00AD71A2">
      <w:pPr>
        <w:rPr>
          <w:rFonts w:ascii="Arial" w:hAnsi="Arial" w:cs="Arial"/>
        </w:rPr>
      </w:pPr>
      <w:r w:rsidRPr="00B460CE">
        <w:rPr>
          <w:rFonts w:ascii="Arial" w:hAnsi="Arial" w:cs="Arial"/>
        </w:rPr>
        <w:t xml:space="preserve">A standalone Equality and Diversity module was created </w:t>
      </w:r>
      <w:r w:rsidR="00E467FF">
        <w:rPr>
          <w:rFonts w:ascii="Arial" w:hAnsi="Arial" w:cs="Arial"/>
        </w:rPr>
        <w:t xml:space="preserve">in </w:t>
      </w:r>
      <w:r w:rsidRPr="00B460CE">
        <w:rPr>
          <w:rFonts w:ascii="Arial" w:hAnsi="Arial" w:cs="Arial"/>
        </w:rPr>
        <w:t xml:space="preserve">MOODLE </w:t>
      </w:r>
      <w:r w:rsidR="00E467FF">
        <w:rPr>
          <w:rFonts w:ascii="Arial" w:hAnsi="Arial" w:cs="Arial"/>
        </w:rPr>
        <w:t xml:space="preserve">and Workbook format in 2014 and </w:t>
      </w:r>
      <w:r w:rsidRPr="00B460CE">
        <w:rPr>
          <w:rFonts w:ascii="Arial" w:hAnsi="Arial" w:cs="Arial"/>
        </w:rPr>
        <w:t xml:space="preserve">mandated for all staff groups. </w:t>
      </w:r>
      <w:r w:rsidR="00664C6D" w:rsidRPr="00B460CE">
        <w:rPr>
          <w:rFonts w:ascii="Arial" w:hAnsi="Arial" w:cs="Arial"/>
        </w:rPr>
        <w:br/>
      </w:r>
      <w:r w:rsidR="00664C6D" w:rsidRPr="00B460CE">
        <w:rPr>
          <w:rFonts w:ascii="Arial" w:hAnsi="Arial" w:cs="Arial"/>
        </w:rPr>
        <w:br/>
      </w:r>
      <w:r w:rsidR="00E467FF">
        <w:rPr>
          <w:rFonts w:ascii="Arial" w:hAnsi="Arial" w:cs="Arial"/>
        </w:rPr>
        <w:t xml:space="preserve">This training was refreshed in Q2 2015, focusing on the </w:t>
      </w:r>
      <w:r w:rsidR="00B07A78">
        <w:rPr>
          <w:rFonts w:ascii="Arial" w:hAnsi="Arial" w:cs="Arial"/>
        </w:rPr>
        <w:t>Human Rights</w:t>
      </w:r>
      <w:r w:rsidR="00E467FF">
        <w:rPr>
          <w:rFonts w:ascii="Arial" w:hAnsi="Arial" w:cs="Arial"/>
        </w:rPr>
        <w:t xml:space="preserve"> Act</w:t>
      </w:r>
      <w:r w:rsidR="00B07A78">
        <w:rPr>
          <w:rFonts w:ascii="Arial" w:hAnsi="Arial" w:cs="Arial"/>
        </w:rPr>
        <w:t>.</w:t>
      </w:r>
    </w:p>
    <w:p w:rsidR="00B8481C" w:rsidRDefault="00B8481C" w:rsidP="00AD71A2">
      <w:pPr>
        <w:rPr>
          <w:rFonts w:ascii="Arial" w:hAnsi="Arial" w:cs="Arial"/>
          <w:b/>
        </w:rPr>
      </w:pPr>
    </w:p>
    <w:p w:rsidR="00E467FF" w:rsidRDefault="00E467FF" w:rsidP="00AD71A2">
      <w:pPr>
        <w:rPr>
          <w:rFonts w:ascii="Arial" w:hAnsi="Arial" w:cs="Arial"/>
          <w:b/>
        </w:rPr>
      </w:pPr>
    </w:p>
    <w:p w:rsidR="00B8481C" w:rsidRDefault="00B8481C" w:rsidP="00AD71A2">
      <w:pPr>
        <w:rPr>
          <w:rFonts w:ascii="Arial" w:hAnsi="Arial" w:cs="Arial"/>
          <w:b/>
        </w:rPr>
      </w:pPr>
    </w:p>
    <w:p w:rsidR="00712AE7" w:rsidRPr="007F3C65" w:rsidRDefault="00712AE7" w:rsidP="00AD71A2">
      <w:pPr>
        <w:rPr>
          <w:rFonts w:ascii="Arial" w:hAnsi="Arial" w:cs="Arial"/>
          <w:b/>
        </w:rPr>
      </w:pPr>
      <w:r w:rsidRPr="007F3C65">
        <w:rPr>
          <w:rFonts w:ascii="Arial" w:hAnsi="Arial" w:cs="Arial"/>
          <w:b/>
        </w:rPr>
        <w:t xml:space="preserve">Action – Development of </w:t>
      </w:r>
      <w:r w:rsidR="00992FD5">
        <w:rPr>
          <w:rFonts w:ascii="Arial" w:hAnsi="Arial" w:cs="Arial"/>
          <w:b/>
        </w:rPr>
        <w:t>Leadership and Succession Planning</w:t>
      </w:r>
    </w:p>
    <w:p w:rsidR="00712AE7" w:rsidRPr="00E47DA8" w:rsidRDefault="00712AE7" w:rsidP="00AD71A2">
      <w:pPr>
        <w:rPr>
          <w:rFonts w:ascii="Arial" w:hAnsi="Arial" w:cs="Arial"/>
          <w:i/>
        </w:rPr>
      </w:pPr>
      <w:r w:rsidRPr="00E47DA8">
        <w:rPr>
          <w:rFonts w:ascii="Arial" w:hAnsi="Arial" w:cs="Arial"/>
          <w:i/>
        </w:rPr>
        <w:t xml:space="preserve">Development of </w:t>
      </w:r>
      <w:r w:rsidR="00992FD5">
        <w:rPr>
          <w:rFonts w:ascii="Arial" w:hAnsi="Arial" w:cs="Arial"/>
          <w:i/>
        </w:rPr>
        <w:t xml:space="preserve">leadership programmes to address leadership gaps and the </w:t>
      </w:r>
      <w:r w:rsidR="00393940" w:rsidRPr="00E47DA8">
        <w:rPr>
          <w:rFonts w:ascii="Arial" w:hAnsi="Arial" w:cs="Arial"/>
          <w:i/>
        </w:rPr>
        <w:t>planning and</w:t>
      </w:r>
      <w:r w:rsidRPr="00E47DA8">
        <w:rPr>
          <w:rFonts w:ascii="Arial" w:hAnsi="Arial" w:cs="Arial"/>
          <w:i/>
        </w:rPr>
        <w:t xml:space="preserve"> embedding of processes to establish a cohort of emerging leaders.</w:t>
      </w:r>
    </w:p>
    <w:p w:rsidR="00712AE7" w:rsidRPr="007F3C65" w:rsidRDefault="00712AE7" w:rsidP="00AD71A2">
      <w:pPr>
        <w:rPr>
          <w:rFonts w:ascii="Arial" w:hAnsi="Arial" w:cs="Arial"/>
          <w:b/>
        </w:rPr>
      </w:pPr>
      <w:r w:rsidRPr="007F3C65">
        <w:rPr>
          <w:rFonts w:ascii="Arial" w:hAnsi="Arial" w:cs="Arial"/>
          <w:b/>
        </w:rPr>
        <w:t>Progress</w:t>
      </w:r>
      <w:r w:rsidR="007F3C65">
        <w:rPr>
          <w:rFonts w:ascii="Arial" w:hAnsi="Arial" w:cs="Arial"/>
          <w:b/>
        </w:rPr>
        <w:t>:</w:t>
      </w:r>
    </w:p>
    <w:p w:rsidR="008E6BA1" w:rsidRPr="008E6BA1" w:rsidRDefault="008E6BA1" w:rsidP="008E6BA1">
      <w:pPr>
        <w:rPr>
          <w:rFonts w:ascii="Arial" w:hAnsi="Arial" w:cs="Arial"/>
        </w:rPr>
      </w:pPr>
      <w:r>
        <w:rPr>
          <w:rFonts w:ascii="Arial" w:hAnsi="Arial" w:cs="Arial"/>
        </w:rPr>
        <w:t xml:space="preserve">A specific </w:t>
      </w:r>
      <w:r w:rsidRPr="008E6BA1">
        <w:rPr>
          <w:rFonts w:ascii="Arial" w:hAnsi="Arial" w:cs="Arial"/>
        </w:rPr>
        <w:t xml:space="preserve">work-stream </w:t>
      </w:r>
      <w:r>
        <w:rPr>
          <w:rFonts w:ascii="Arial" w:hAnsi="Arial" w:cs="Arial"/>
        </w:rPr>
        <w:t xml:space="preserve">relating to leadership </w:t>
      </w:r>
      <w:r w:rsidR="00B07A78">
        <w:rPr>
          <w:rFonts w:ascii="Arial" w:hAnsi="Arial" w:cs="Arial"/>
        </w:rPr>
        <w:t>was</w:t>
      </w:r>
      <w:r>
        <w:rPr>
          <w:rFonts w:ascii="Arial" w:hAnsi="Arial" w:cs="Arial"/>
        </w:rPr>
        <w:t xml:space="preserve"> established as part of the Trust’s Integrated Improvement Programme (IIP).  </w:t>
      </w:r>
      <w:r w:rsidRPr="008E6BA1">
        <w:rPr>
          <w:rFonts w:ascii="Arial" w:hAnsi="Arial" w:cs="Arial"/>
        </w:rPr>
        <w:t xml:space="preserve">It forms a key pillar of the Culture &amp; Engagement programme, with an aim of systematically improving leadership capability across the Trust. </w:t>
      </w:r>
    </w:p>
    <w:p w:rsidR="008E6BA1" w:rsidRPr="008E6BA1" w:rsidRDefault="008E6BA1" w:rsidP="008E6BA1">
      <w:pPr>
        <w:pStyle w:val="Default"/>
        <w:rPr>
          <w:sz w:val="22"/>
          <w:szCs w:val="22"/>
        </w:rPr>
      </w:pPr>
      <w:r w:rsidRPr="008E6BA1">
        <w:rPr>
          <w:sz w:val="22"/>
          <w:szCs w:val="22"/>
        </w:rPr>
        <w:t xml:space="preserve">The main activities to date have been; </w:t>
      </w:r>
    </w:p>
    <w:p w:rsidR="008E6BA1" w:rsidRPr="008E6BA1" w:rsidRDefault="008E6BA1" w:rsidP="008E6BA1">
      <w:pPr>
        <w:pStyle w:val="Default"/>
        <w:numPr>
          <w:ilvl w:val="0"/>
          <w:numId w:val="47"/>
        </w:numPr>
        <w:spacing w:after="13"/>
        <w:rPr>
          <w:sz w:val="22"/>
          <w:szCs w:val="22"/>
        </w:rPr>
      </w:pPr>
      <w:r w:rsidRPr="008E6BA1">
        <w:rPr>
          <w:sz w:val="22"/>
          <w:szCs w:val="22"/>
        </w:rPr>
        <w:t xml:space="preserve">An analysis of </w:t>
      </w:r>
      <w:r>
        <w:rPr>
          <w:sz w:val="22"/>
          <w:szCs w:val="22"/>
        </w:rPr>
        <w:t xml:space="preserve">the </w:t>
      </w:r>
      <w:r w:rsidRPr="008E6BA1">
        <w:rPr>
          <w:sz w:val="22"/>
          <w:szCs w:val="22"/>
        </w:rPr>
        <w:t xml:space="preserve">current position versus desired position, and the development of a leadership plan based on findings </w:t>
      </w:r>
    </w:p>
    <w:p w:rsidR="008E6BA1" w:rsidRPr="008E6BA1" w:rsidRDefault="008E6BA1" w:rsidP="008E6BA1">
      <w:pPr>
        <w:pStyle w:val="Default"/>
        <w:numPr>
          <w:ilvl w:val="0"/>
          <w:numId w:val="47"/>
        </w:numPr>
        <w:spacing w:after="13"/>
        <w:rPr>
          <w:sz w:val="22"/>
          <w:szCs w:val="22"/>
        </w:rPr>
      </w:pPr>
      <w:r w:rsidRPr="008E6BA1">
        <w:rPr>
          <w:sz w:val="22"/>
          <w:szCs w:val="22"/>
        </w:rPr>
        <w:t xml:space="preserve">Work started on the development of the HEFT Leadership Framework </w:t>
      </w:r>
    </w:p>
    <w:p w:rsidR="008E6BA1" w:rsidRPr="008E6BA1" w:rsidRDefault="008E6BA1" w:rsidP="008E6BA1">
      <w:pPr>
        <w:pStyle w:val="Default"/>
        <w:numPr>
          <w:ilvl w:val="0"/>
          <w:numId w:val="47"/>
        </w:numPr>
        <w:spacing w:after="13"/>
        <w:rPr>
          <w:sz w:val="22"/>
          <w:szCs w:val="22"/>
        </w:rPr>
      </w:pPr>
      <w:r w:rsidRPr="008E6BA1">
        <w:rPr>
          <w:sz w:val="22"/>
          <w:szCs w:val="22"/>
        </w:rPr>
        <w:t xml:space="preserve">Work started on the development of the HEFT Leadership Development Programme (LDP) </w:t>
      </w:r>
    </w:p>
    <w:p w:rsidR="008E6BA1" w:rsidRDefault="008E6BA1" w:rsidP="008E6BA1">
      <w:pPr>
        <w:pStyle w:val="Default"/>
        <w:numPr>
          <w:ilvl w:val="0"/>
          <w:numId w:val="47"/>
        </w:numPr>
        <w:rPr>
          <w:sz w:val="22"/>
          <w:szCs w:val="22"/>
        </w:rPr>
      </w:pPr>
      <w:r w:rsidRPr="008E6BA1">
        <w:rPr>
          <w:sz w:val="22"/>
          <w:szCs w:val="22"/>
        </w:rPr>
        <w:t xml:space="preserve">Implementation planning, including scheduling of initial LDP module delivery started </w:t>
      </w:r>
    </w:p>
    <w:p w:rsidR="00E467FF" w:rsidRDefault="00E467FF" w:rsidP="00E467FF">
      <w:pPr>
        <w:pStyle w:val="Default"/>
        <w:rPr>
          <w:sz w:val="22"/>
          <w:szCs w:val="22"/>
        </w:rPr>
      </w:pPr>
    </w:p>
    <w:p w:rsidR="008E6BA1" w:rsidRDefault="008E6BA1" w:rsidP="00AD71A2">
      <w:pPr>
        <w:rPr>
          <w:rFonts w:ascii="Arial" w:hAnsi="Arial" w:cs="Arial"/>
          <w:b/>
        </w:rPr>
      </w:pPr>
    </w:p>
    <w:p w:rsidR="00712AE7" w:rsidRPr="007F3C65" w:rsidRDefault="00712AE7" w:rsidP="00AD71A2">
      <w:pPr>
        <w:rPr>
          <w:rFonts w:ascii="Arial" w:hAnsi="Arial" w:cs="Arial"/>
          <w:b/>
        </w:rPr>
      </w:pPr>
      <w:r w:rsidRPr="007F3C65">
        <w:rPr>
          <w:rFonts w:ascii="Arial" w:hAnsi="Arial" w:cs="Arial"/>
          <w:b/>
        </w:rPr>
        <w:t>Action – Disciplinary Cases</w:t>
      </w:r>
    </w:p>
    <w:p w:rsidR="00712AE7" w:rsidRPr="008E6BA1" w:rsidRDefault="00712AE7" w:rsidP="00AD71A2">
      <w:pPr>
        <w:rPr>
          <w:rFonts w:ascii="Arial" w:hAnsi="Arial" w:cs="Arial"/>
          <w:i/>
        </w:rPr>
      </w:pPr>
      <w:r w:rsidRPr="008E6BA1">
        <w:rPr>
          <w:rFonts w:ascii="Arial" w:hAnsi="Arial" w:cs="Arial"/>
          <w:i/>
        </w:rPr>
        <w:t>Understanding the reasons for the high proportion of disciplinary cases relating to BME staff.</w:t>
      </w:r>
    </w:p>
    <w:p w:rsidR="00712AE7" w:rsidRPr="00D40986" w:rsidRDefault="00712AE7" w:rsidP="00AD71A2">
      <w:pPr>
        <w:rPr>
          <w:rFonts w:ascii="Arial" w:hAnsi="Arial" w:cs="Arial"/>
          <w:b/>
        </w:rPr>
      </w:pPr>
      <w:r w:rsidRPr="00D40986">
        <w:rPr>
          <w:rFonts w:ascii="Arial" w:hAnsi="Arial" w:cs="Arial"/>
          <w:b/>
        </w:rPr>
        <w:t>Progress</w:t>
      </w:r>
    </w:p>
    <w:p w:rsidR="00B27C43" w:rsidRDefault="00E47DA8" w:rsidP="00AD71A2">
      <w:pPr>
        <w:rPr>
          <w:rFonts w:ascii="Arial" w:hAnsi="Arial" w:cs="Arial"/>
        </w:rPr>
      </w:pPr>
      <w:r w:rsidRPr="008E6BA1">
        <w:rPr>
          <w:rFonts w:ascii="Arial" w:hAnsi="Arial" w:cs="Arial"/>
        </w:rPr>
        <w:t>Data validation was addressed through enhanced reporting of disciplinary cases by the HR Operations Team.</w:t>
      </w:r>
      <w:r w:rsidR="00B27C43">
        <w:rPr>
          <w:rFonts w:ascii="Arial" w:hAnsi="Arial" w:cs="Arial"/>
        </w:rPr>
        <w:t xml:space="preserve">  </w:t>
      </w:r>
      <w:r w:rsidR="00C23DAC">
        <w:rPr>
          <w:rFonts w:ascii="Arial" w:hAnsi="Arial" w:cs="Arial"/>
        </w:rPr>
        <w:t xml:space="preserve">The system for recording disciplinary action is </w:t>
      </w:r>
      <w:r w:rsidR="00B07A78">
        <w:rPr>
          <w:rFonts w:ascii="Arial" w:hAnsi="Arial" w:cs="Arial"/>
        </w:rPr>
        <w:t>currently under review with the aim to transfer reporting onto ESR in the future.</w:t>
      </w:r>
    </w:p>
    <w:p w:rsidR="00B27C43" w:rsidRDefault="00B27C43" w:rsidP="00AD71A2">
      <w:pPr>
        <w:rPr>
          <w:rFonts w:ascii="Arial" w:hAnsi="Arial" w:cs="Arial"/>
        </w:rPr>
      </w:pPr>
      <w:r>
        <w:rPr>
          <w:rFonts w:ascii="Arial" w:hAnsi="Arial" w:cs="Arial"/>
        </w:rPr>
        <w:t>The role of Cultural Ambassador was introduced in 2014 as part of a pilot with the RCN.  Formal employee relations processes, including the disciplinary process have been modified to reflect the inclusion of the Cultural Ambassador at hearings</w:t>
      </w:r>
      <w:r w:rsidR="00E467FF">
        <w:rPr>
          <w:rFonts w:ascii="Arial" w:hAnsi="Arial" w:cs="Arial"/>
        </w:rPr>
        <w:t>, where requested</w:t>
      </w:r>
      <w:r>
        <w:rPr>
          <w:rFonts w:ascii="Arial" w:hAnsi="Arial" w:cs="Arial"/>
        </w:rPr>
        <w:t>.</w:t>
      </w:r>
    </w:p>
    <w:p w:rsidR="00B27C43" w:rsidRDefault="00B27C43" w:rsidP="00AD71A2">
      <w:pPr>
        <w:rPr>
          <w:rFonts w:ascii="Arial" w:hAnsi="Arial" w:cs="Arial"/>
          <w:b/>
        </w:rPr>
      </w:pPr>
    </w:p>
    <w:p w:rsidR="00712AE7" w:rsidRPr="00D40986" w:rsidRDefault="00712AE7" w:rsidP="00AD71A2">
      <w:pPr>
        <w:rPr>
          <w:rFonts w:ascii="Arial" w:hAnsi="Arial" w:cs="Arial"/>
          <w:b/>
        </w:rPr>
      </w:pPr>
      <w:r w:rsidRPr="00D40986">
        <w:rPr>
          <w:rFonts w:ascii="Arial" w:hAnsi="Arial" w:cs="Arial"/>
          <w:b/>
        </w:rPr>
        <w:t>Action – Recruitment and Selection</w:t>
      </w:r>
    </w:p>
    <w:p w:rsidR="00712AE7" w:rsidRPr="008E6BA1" w:rsidRDefault="00712AE7" w:rsidP="00AD71A2">
      <w:pPr>
        <w:rPr>
          <w:rFonts w:ascii="Arial" w:hAnsi="Arial" w:cs="Arial"/>
          <w:i/>
        </w:rPr>
      </w:pPr>
      <w:r w:rsidRPr="008E6BA1">
        <w:rPr>
          <w:rFonts w:ascii="Arial" w:hAnsi="Arial" w:cs="Arial"/>
          <w:i/>
        </w:rPr>
        <w:t>Identifying reasons for the variation between the proportion of Applicants and Appointments from different ethnic groups.</w:t>
      </w:r>
    </w:p>
    <w:p w:rsidR="00712AE7" w:rsidRPr="00D40986" w:rsidRDefault="00712AE7" w:rsidP="00AD71A2">
      <w:pPr>
        <w:rPr>
          <w:rFonts w:ascii="Arial" w:hAnsi="Arial" w:cs="Arial"/>
          <w:b/>
        </w:rPr>
      </w:pPr>
      <w:r w:rsidRPr="00D40986">
        <w:rPr>
          <w:rFonts w:ascii="Arial" w:hAnsi="Arial" w:cs="Arial"/>
          <w:b/>
        </w:rPr>
        <w:t>Progress</w:t>
      </w:r>
    </w:p>
    <w:p w:rsidR="00CD00DA" w:rsidRPr="00AF5C9D" w:rsidRDefault="00CD00DA" w:rsidP="00AD71A2">
      <w:pPr>
        <w:rPr>
          <w:rFonts w:ascii="Arial" w:hAnsi="Arial" w:cs="Arial"/>
        </w:rPr>
      </w:pPr>
      <w:r w:rsidRPr="00AF5C9D">
        <w:rPr>
          <w:rFonts w:ascii="Arial" w:hAnsi="Arial" w:cs="Arial"/>
        </w:rPr>
        <w:t xml:space="preserve">Analysis of </w:t>
      </w:r>
      <w:r w:rsidR="00712AE7" w:rsidRPr="00AF5C9D">
        <w:rPr>
          <w:rFonts w:ascii="Arial" w:hAnsi="Arial" w:cs="Arial"/>
        </w:rPr>
        <w:t xml:space="preserve">NHS Jobs vacancy data </w:t>
      </w:r>
      <w:r w:rsidRPr="00AF5C9D">
        <w:rPr>
          <w:rFonts w:ascii="Arial" w:hAnsi="Arial" w:cs="Arial"/>
        </w:rPr>
        <w:t xml:space="preserve">has </w:t>
      </w:r>
      <w:r w:rsidR="00712AE7" w:rsidRPr="00AF5C9D">
        <w:rPr>
          <w:rFonts w:ascii="Arial" w:hAnsi="Arial" w:cs="Arial"/>
        </w:rPr>
        <w:t>highlighted that White applicants are more likely to be appointed than their BME counterparts</w:t>
      </w:r>
      <w:r w:rsidRPr="00AF5C9D">
        <w:rPr>
          <w:rFonts w:ascii="Arial" w:hAnsi="Arial" w:cs="Arial"/>
        </w:rPr>
        <w:t>.</w:t>
      </w:r>
    </w:p>
    <w:p w:rsidR="00AF5C9D" w:rsidRDefault="00B07A78" w:rsidP="00AF5C9D">
      <w:pPr>
        <w:spacing w:after="0" w:line="240" w:lineRule="auto"/>
        <w:rPr>
          <w:rFonts w:ascii="Arial" w:hAnsi="Arial" w:cs="Arial"/>
        </w:rPr>
      </w:pPr>
      <w:r w:rsidRPr="00AF5C9D">
        <w:rPr>
          <w:rFonts w:ascii="Arial" w:hAnsi="Arial" w:cs="Arial"/>
        </w:rPr>
        <w:t xml:space="preserve">The analysis conducted as part of the introduction of the </w:t>
      </w:r>
      <w:r w:rsidR="00CD00DA" w:rsidRPr="00AF5C9D">
        <w:rPr>
          <w:rFonts w:ascii="Arial" w:hAnsi="Arial" w:cs="Arial"/>
        </w:rPr>
        <w:t>Workforce Race Equality Standard</w:t>
      </w:r>
      <w:r w:rsidRPr="00AF5C9D">
        <w:rPr>
          <w:rFonts w:ascii="Arial" w:hAnsi="Arial" w:cs="Arial"/>
        </w:rPr>
        <w:t xml:space="preserve"> has highlighted that </w:t>
      </w:r>
      <w:r w:rsidR="00AF5C9D">
        <w:rPr>
          <w:rFonts w:ascii="Arial" w:hAnsi="Arial" w:cs="Arial"/>
        </w:rPr>
        <w:t xml:space="preserve">the relative </w:t>
      </w:r>
      <w:r w:rsidR="00AF5C9D" w:rsidRPr="00AF5C9D">
        <w:rPr>
          <w:rFonts w:ascii="Arial" w:hAnsi="Arial" w:cs="Arial"/>
        </w:rPr>
        <w:t>likelihood of white staff being appointed from shortlisting compared to BME staff is 1.54 times greater</w:t>
      </w:r>
      <w:r w:rsidR="00AF5C9D">
        <w:rPr>
          <w:rFonts w:ascii="Arial" w:hAnsi="Arial" w:cs="Arial"/>
        </w:rPr>
        <w:t>.  Nationally white staff are 1.74 times more likely to</w:t>
      </w:r>
      <w:r w:rsidR="00DB2A1D">
        <w:rPr>
          <w:rFonts w:ascii="Arial" w:hAnsi="Arial" w:cs="Arial"/>
        </w:rPr>
        <w:t xml:space="preserve"> be </w:t>
      </w:r>
      <w:r w:rsidR="00AF5C9D">
        <w:rPr>
          <w:rFonts w:ascii="Arial" w:hAnsi="Arial" w:cs="Arial"/>
        </w:rPr>
        <w:t>appointed once sho</w:t>
      </w:r>
      <w:r w:rsidR="00DB2A1D">
        <w:rPr>
          <w:rFonts w:ascii="Arial" w:hAnsi="Arial" w:cs="Arial"/>
        </w:rPr>
        <w:t xml:space="preserve">rtlisted </w:t>
      </w:r>
      <w:r w:rsidR="00AF5C9D">
        <w:rPr>
          <w:rFonts w:ascii="Arial" w:hAnsi="Arial" w:cs="Arial"/>
        </w:rPr>
        <w:t>than BME staff (Kline 2013).</w:t>
      </w:r>
    </w:p>
    <w:p w:rsidR="00AF5C9D" w:rsidRDefault="00AF5C9D" w:rsidP="00AD71A2">
      <w:pPr>
        <w:rPr>
          <w:rFonts w:ascii="Arial" w:hAnsi="Arial" w:cs="Arial"/>
          <w:b/>
        </w:rPr>
      </w:pPr>
    </w:p>
    <w:p w:rsidR="00DB2A1D" w:rsidRDefault="00DB2A1D" w:rsidP="00AD71A2">
      <w:pPr>
        <w:rPr>
          <w:rFonts w:ascii="Arial" w:hAnsi="Arial" w:cs="Arial"/>
          <w:b/>
        </w:rPr>
      </w:pPr>
    </w:p>
    <w:p w:rsidR="00712AE7" w:rsidRPr="00CD4AA4" w:rsidRDefault="00712AE7" w:rsidP="00AD71A2">
      <w:pPr>
        <w:rPr>
          <w:rFonts w:ascii="Arial" w:hAnsi="Arial" w:cs="Arial"/>
          <w:b/>
        </w:rPr>
      </w:pPr>
      <w:r w:rsidRPr="00CD4AA4">
        <w:rPr>
          <w:rFonts w:ascii="Arial" w:hAnsi="Arial" w:cs="Arial"/>
          <w:b/>
        </w:rPr>
        <w:lastRenderedPageBreak/>
        <w:t>Action - Ageing Workforce</w:t>
      </w:r>
    </w:p>
    <w:p w:rsidR="00712AE7" w:rsidRPr="0059562D" w:rsidRDefault="00712AE7" w:rsidP="00AD71A2">
      <w:pPr>
        <w:rPr>
          <w:rFonts w:ascii="Arial" w:hAnsi="Arial" w:cs="Arial"/>
          <w:i/>
        </w:rPr>
      </w:pPr>
      <w:r w:rsidRPr="0059562D">
        <w:rPr>
          <w:rFonts w:ascii="Arial" w:hAnsi="Arial" w:cs="Arial"/>
          <w:i/>
        </w:rPr>
        <w:t>Keep under review the impact of retaining an ageing workforce.</w:t>
      </w:r>
    </w:p>
    <w:p w:rsidR="00712AE7" w:rsidRPr="00CD4AA4" w:rsidRDefault="00712AE7" w:rsidP="00AD71A2">
      <w:pPr>
        <w:rPr>
          <w:rFonts w:ascii="Arial" w:hAnsi="Arial" w:cs="Arial"/>
          <w:b/>
        </w:rPr>
      </w:pPr>
      <w:r w:rsidRPr="00CD4AA4">
        <w:rPr>
          <w:rFonts w:ascii="Arial" w:hAnsi="Arial" w:cs="Arial"/>
          <w:b/>
        </w:rPr>
        <w:t>Progress</w:t>
      </w:r>
    </w:p>
    <w:p w:rsidR="00DB2A1D" w:rsidRDefault="00712AE7" w:rsidP="00AD71A2">
      <w:pPr>
        <w:rPr>
          <w:rFonts w:ascii="Arial" w:hAnsi="Arial" w:cs="Arial"/>
        </w:rPr>
      </w:pPr>
      <w:r w:rsidRPr="008E6BA1">
        <w:rPr>
          <w:rFonts w:ascii="Arial" w:hAnsi="Arial" w:cs="Arial"/>
        </w:rPr>
        <w:t xml:space="preserve">An initial report was presented to the Live Well Work Well group in July 2012.  Whilst no further action was considered necessary in view of current policies, the age profile of our workforce </w:t>
      </w:r>
      <w:r w:rsidR="007208F0">
        <w:rPr>
          <w:rFonts w:ascii="Arial" w:hAnsi="Arial" w:cs="Arial"/>
        </w:rPr>
        <w:t xml:space="preserve">is </w:t>
      </w:r>
      <w:r w:rsidRPr="008E6BA1">
        <w:rPr>
          <w:rFonts w:ascii="Arial" w:hAnsi="Arial" w:cs="Arial"/>
        </w:rPr>
        <w:t>monitored on an annual basis</w:t>
      </w:r>
      <w:r w:rsidR="00DB2A1D">
        <w:rPr>
          <w:rFonts w:ascii="Arial" w:hAnsi="Arial" w:cs="Arial"/>
        </w:rPr>
        <w:t>.</w:t>
      </w:r>
    </w:p>
    <w:p w:rsidR="00712AE7" w:rsidRPr="00CD4AA4" w:rsidRDefault="00DB2A1D" w:rsidP="00AD71A2">
      <w:pPr>
        <w:rPr>
          <w:rFonts w:ascii="Arial" w:hAnsi="Arial" w:cs="Arial"/>
          <w:b/>
        </w:rPr>
      </w:pPr>
      <w:r>
        <w:rPr>
          <w:rFonts w:ascii="Arial" w:hAnsi="Arial" w:cs="Arial"/>
        </w:rPr>
        <w:t>Specific action has taken place within Facilities Division, to address the ageing workforce</w:t>
      </w:r>
      <w:r w:rsidR="00D905A1">
        <w:rPr>
          <w:rFonts w:ascii="Arial" w:hAnsi="Arial" w:cs="Arial"/>
        </w:rPr>
        <w:t xml:space="preserve"> (see section 5.1 of the main report)</w:t>
      </w:r>
      <w:r>
        <w:rPr>
          <w:rFonts w:ascii="Arial" w:hAnsi="Arial" w:cs="Arial"/>
        </w:rPr>
        <w:t>.</w:t>
      </w:r>
      <w:r w:rsidR="00E6114F" w:rsidRPr="008E6BA1">
        <w:rPr>
          <w:rFonts w:ascii="Arial" w:hAnsi="Arial" w:cs="Arial"/>
        </w:rPr>
        <w:br/>
      </w:r>
      <w:r w:rsidR="00E6114F">
        <w:rPr>
          <w:rFonts w:ascii="Arial" w:hAnsi="Arial" w:cs="Arial"/>
          <w:i/>
        </w:rPr>
        <w:br/>
      </w:r>
      <w:r w:rsidR="00712AE7" w:rsidRPr="00CD4AA4">
        <w:rPr>
          <w:rFonts w:ascii="Arial" w:hAnsi="Arial" w:cs="Arial"/>
          <w:b/>
        </w:rPr>
        <w:t>Action – Collaboration with Equality and Diversity Department</w:t>
      </w:r>
    </w:p>
    <w:p w:rsidR="00712AE7" w:rsidRPr="0059562D" w:rsidRDefault="00712AE7" w:rsidP="00AD71A2">
      <w:pPr>
        <w:rPr>
          <w:rFonts w:ascii="Arial" w:hAnsi="Arial" w:cs="Arial"/>
          <w:i/>
        </w:rPr>
      </w:pPr>
      <w:r w:rsidRPr="0059562D">
        <w:rPr>
          <w:rFonts w:ascii="Arial" w:hAnsi="Arial" w:cs="Arial"/>
          <w:i/>
        </w:rPr>
        <w:t>To explore opportunities for working in partnership with the Equality and Diversity department.</w:t>
      </w:r>
    </w:p>
    <w:p w:rsidR="00712AE7" w:rsidRPr="00CD4AA4" w:rsidRDefault="00712AE7" w:rsidP="00AD71A2">
      <w:pPr>
        <w:rPr>
          <w:rFonts w:ascii="Arial" w:hAnsi="Arial" w:cs="Arial"/>
          <w:b/>
        </w:rPr>
      </w:pPr>
      <w:r w:rsidRPr="00CD4AA4">
        <w:rPr>
          <w:rFonts w:ascii="Arial" w:hAnsi="Arial" w:cs="Arial"/>
          <w:b/>
        </w:rPr>
        <w:t>Progress</w:t>
      </w:r>
    </w:p>
    <w:p w:rsidR="00B27C43" w:rsidRDefault="0059562D" w:rsidP="00AD71A2">
      <w:pPr>
        <w:rPr>
          <w:rFonts w:ascii="Arial" w:hAnsi="Arial" w:cs="Arial"/>
        </w:rPr>
      </w:pPr>
      <w:r w:rsidRPr="007116EB">
        <w:rPr>
          <w:rFonts w:ascii="Arial" w:hAnsi="Arial" w:cs="Arial"/>
        </w:rPr>
        <w:t xml:space="preserve">A review of committee structures </w:t>
      </w:r>
      <w:r w:rsidR="007F49CB">
        <w:rPr>
          <w:rFonts w:ascii="Arial" w:hAnsi="Arial" w:cs="Arial"/>
        </w:rPr>
        <w:t xml:space="preserve">is taking place and for </w:t>
      </w:r>
      <w:r w:rsidR="007F49CB" w:rsidRPr="007F49CB">
        <w:rPr>
          <w:rFonts w:ascii="Arial" w:hAnsi="Arial" w:cs="Arial"/>
        </w:rPr>
        <w:t>now</w:t>
      </w:r>
      <w:r w:rsidR="001E0A5E" w:rsidRPr="007F49CB">
        <w:rPr>
          <w:rFonts w:ascii="Arial" w:hAnsi="Arial" w:cs="Arial"/>
        </w:rPr>
        <w:t xml:space="preserve"> </w:t>
      </w:r>
      <w:r w:rsidR="00FC48A5" w:rsidRPr="007F49CB">
        <w:rPr>
          <w:rFonts w:ascii="Arial" w:hAnsi="Arial" w:cs="Arial"/>
        </w:rPr>
        <w:t xml:space="preserve">Actions in relation to Equality and Diversity will be reported through </w:t>
      </w:r>
      <w:r w:rsidR="001E0A5E" w:rsidRPr="007F49CB">
        <w:rPr>
          <w:rFonts w:ascii="Arial" w:hAnsi="Arial" w:cs="Arial"/>
        </w:rPr>
        <w:t>to the Executive Team.</w:t>
      </w:r>
    </w:p>
    <w:p w:rsidR="00712AE7" w:rsidRPr="00CD4AA4" w:rsidRDefault="000E1B30" w:rsidP="00AD71A2">
      <w:pPr>
        <w:rPr>
          <w:rFonts w:ascii="Arial" w:hAnsi="Arial" w:cs="Arial"/>
          <w:b/>
        </w:rPr>
      </w:pPr>
      <w:r>
        <w:rPr>
          <w:rFonts w:ascii="Arial" w:hAnsi="Arial" w:cs="Arial"/>
        </w:rPr>
        <w:br/>
      </w:r>
      <w:r w:rsidR="00712AE7" w:rsidRPr="00CD4AA4">
        <w:rPr>
          <w:rFonts w:ascii="Arial" w:hAnsi="Arial" w:cs="Arial"/>
          <w:b/>
        </w:rPr>
        <w:t>Action – Protected Characteristics</w:t>
      </w:r>
    </w:p>
    <w:p w:rsidR="00712AE7" w:rsidRPr="000E1B30" w:rsidRDefault="00712AE7" w:rsidP="00AD71A2">
      <w:pPr>
        <w:rPr>
          <w:rFonts w:ascii="Arial" w:hAnsi="Arial" w:cs="Arial"/>
          <w:i/>
        </w:rPr>
      </w:pPr>
      <w:r w:rsidRPr="000E1B30">
        <w:rPr>
          <w:rFonts w:ascii="Arial" w:hAnsi="Arial" w:cs="Arial"/>
          <w:i/>
        </w:rPr>
        <w:t>To discuss the remaining protected characteristics under the equality duty and agree appropriate actions</w:t>
      </w:r>
    </w:p>
    <w:p w:rsidR="00712AE7" w:rsidRPr="00CD4AA4" w:rsidRDefault="00712AE7" w:rsidP="00AD71A2">
      <w:pPr>
        <w:rPr>
          <w:rFonts w:ascii="Arial" w:hAnsi="Arial" w:cs="Arial"/>
          <w:b/>
        </w:rPr>
      </w:pPr>
      <w:r w:rsidRPr="00CD4AA4">
        <w:rPr>
          <w:rFonts w:ascii="Arial" w:hAnsi="Arial" w:cs="Arial"/>
          <w:b/>
        </w:rPr>
        <w:t>Progress</w:t>
      </w:r>
    </w:p>
    <w:p w:rsidR="00B07A78" w:rsidRDefault="000E1B30" w:rsidP="00AD71A2">
      <w:pPr>
        <w:rPr>
          <w:rFonts w:ascii="Arial" w:hAnsi="Arial" w:cs="Arial"/>
        </w:rPr>
      </w:pPr>
      <w:r w:rsidRPr="00FC48A5">
        <w:rPr>
          <w:rFonts w:ascii="Arial" w:hAnsi="Arial" w:cs="Arial"/>
        </w:rPr>
        <w:t xml:space="preserve">Improvement of data collection </w:t>
      </w:r>
      <w:r w:rsidR="00B07A78">
        <w:rPr>
          <w:rFonts w:ascii="Arial" w:hAnsi="Arial" w:cs="Arial"/>
        </w:rPr>
        <w:t xml:space="preserve">was </w:t>
      </w:r>
      <w:r w:rsidRPr="00FC48A5">
        <w:rPr>
          <w:rFonts w:ascii="Arial" w:hAnsi="Arial" w:cs="Arial"/>
        </w:rPr>
        <w:t xml:space="preserve">agreed as part of </w:t>
      </w:r>
      <w:r w:rsidR="00FC48A5">
        <w:rPr>
          <w:rFonts w:ascii="Arial" w:hAnsi="Arial" w:cs="Arial"/>
        </w:rPr>
        <w:t xml:space="preserve">the Trust’s </w:t>
      </w:r>
      <w:r w:rsidRPr="00FC48A5">
        <w:rPr>
          <w:rFonts w:ascii="Arial" w:hAnsi="Arial" w:cs="Arial"/>
        </w:rPr>
        <w:t xml:space="preserve">EDS2 objectives </w:t>
      </w:r>
      <w:r w:rsidR="00B07A78">
        <w:rPr>
          <w:rFonts w:ascii="Arial" w:hAnsi="Arial" w:cs="Arial"/>
        </w:rPr>
        <w:t xml:space="preserve">in order to </w:t>
      </w:r>
      <w:r w:rsidRPr="00FC48A5">
        <w:rPr>
          <w:rFonts w:ascii="Arial" w:hAnsi="Arial" w:cs="Arial"/>
        </w:rPr>
        <w:t>support the ability to undertake wider workforce analysis.</w:t>
      </w:r>
      <w:r w:rsidR="00FC48A5">
        <w:rPr>
          <w:rFonts w:ascii="Arial" w:hAnsi="Arial" w:cs="Arial"/>
        </w:rPr>
        <w:t xml:space="preserve">  </w:t>
      </w:r>
      <w:r w:rsidR="00B07A78">
        <w:rPr>
          <w:rFonts w:ascii="Arial" w:hAnsi="Arial" w:cs="Arial"/>
        </w:rPr>
        <w:t xml:space="preserve">A data collection exercise </w:t>
      </w:r>
      <w:r w:rsidR="00492642">
        <w:rPr>
          <w:rFonts w:ascii="Arial" w:hAnsi="Arial" w:cs="Arial"/>
        </w:rPr>
        <w:t xml:space="preserve">was agreed for </w:t>
      </w:r>
      <w:r w:rsidR="00B07A78">
        <w:rPr>
          <w:rFonts w:ascii="Arial" w:hAnsi="Arial" w:cs="Arial"/>
        </w:rPr>
        <w:t>2015/16 with a view to arriving at an improved set of data for 2016/17.</w:t>
      </w:r>
    </w:p>
    <w:p w:rsidR="00712AE7" w:rsidRPr="00CD4AA4" w:rsidRDefault="00712AE7" w:rsidP="000E1B30">
      <w:pPr>
        <w:rPr>
          <w:rFonts w:ascii="Arial" w:hAnsi="Arial" w:cs="Arial"/>
        </w:rPr>
      </w:pPr>
      <w:r w:rsidRPr="00CD4AA4">
        <w:rPr>
          <w:rFonts w:ascii="Arial" w:hAnsi="Arial" w:cs="Arial"/>
        </w:rPr>
        <w:br w:type="page"/>
      </w:r>
    </w:p>
    <w:p w:rsidR="00712AE7" w:rsidRPr="00CD4AA4" w:rsidRDefault="00712AE7" w:rsidP="00AD71A2">
      <w:pPr>
        <w:rPr>
          <w:rFonts w:ascii="Arial" w:hAnsi="Arial" w:cs="Arial"/>
          <w:b/>
        </w:rPr>
      </w:pPr>
      <w:r w:rsidRPr="00CD4AA4">
        <w:rPr>
          <w:rFonts w:ascii="Arial" w:hAnsi="Arial" w:cs="Arial"/>
          <w:b/>
        </w:rPr>
        <w:lastRenderedPageBreak/>
        <w:t xml:space="preserve">Recommendations for </w:t>
      </w:r>
      <w:r w:rsidR="00B07A78">
        <w:rPr>
          <w:rFonts w:ascii="Arial" w:hAnsi="Arial" w:cs="Arial"/>
          <w:b/>
        </w:rPr>
        <w:t>2016/17</w:t>
      </w:r>
    </w:p>
    <w:p w:rsidR="00127F60" w:rsidRDefault="00712AE7" w:rsidP="00AD71A2">
      <w:pPr>
        <w:rPr>
          <w:rFonts w:ascii="Arial" w:hAnsi="Arial" w:cs="Arial"/>
        </w:rPr>
      </w:pPr>
      <w:r w:rsidRPr="00CD4AA4">
        <w:rPr>
          <w:rFonts w:ascii="Arial" w:hAnsi="Arial" w:cs="Arial"/>
        </w:rPr>
        <w:t xml:space="preserve">The information contained within this report will be used to inform further discussion </w:t>
      </w:r>
      <w:r w:rsidR="00FC48A5">
        <w:rPr>
          <w:rFonts w:ascii="Arial" w:hAnsi="Arial" w:cs="Arial"/>
        </w:rPr>
        <w:t>in relation to the equality and diversity agenda</w:t>
      </w:r>
      <w:r w:rsidR="00CB0D3D">
        <w:rPr>
          <w:rFonts w:ascii="Arial" w:hAnsi="Arial" w:cs="Arial"/>
        </w:rPr>
        <w:t>, alongside requirements relating to the Equality Delivery System 2 (EDS2)</w:t>
      </w:r>
      <w:r w:rsidR="00127F60">
        <w:rPr>
          <w:rFonts w:ascii="Arial" w:hAnsi="Arial" w:cs="Arial"/>
        </w:rPr>
        <w:t xml:space="preserve"> and </w:t>
      </w:r>
      <w:r w:rsidR="00CB0D3D">
        <w:rPr>
          <w:rFonts w:ascii="Arial" w:hAnsi="Arial" w:cs="Arial"/>
        </w:rPr>
        <w:t>Workforce Race Equality Standard (WRES)</w:t>
      </w:r>
      <w:r w:rsidR="00127F60">
        <w:rPr>
          <w:rFonts w:ascii="Arial" w:hAnsi="Arial" w:cs="Arial"/>
        </w:rPr>
        <w:t>.</w:t>
      </w:r>
    </w:p>
    <w:p w:rsidR="00EE5605" w:rsidRPr="00CD6DEA" w:rsidRDefault="00EE5605" w:rsidP="00AD71A2">
      <w:pPr>
        <w:rPr>
          <w:rFonts w:ascii="Arial" w:hAnsi="Arial" w:cs="Arial"/>
        </w:rPr>
      </w:pPr>
      <w:r w:rsidRPr="00CD6DEA">
        <w:rPr>
          <w:rFonts w:ascii="Arial" w:hAnsi="Arial" w:cs="Arial"/>
        </w:rPr>
        <w:t xml:space="preserve">Further </w:t>
      </w:r>
      <w:r w:rsidR="007F49CB" w:rsidRPr="00CD6DEA">
        <w:rPr>
          <w:rFonts w:ascii="Arial" w:hAnsi="Arial" w:cs="Arial"/>
        </w:rPr>
        <w:t>work to take place on capturing more information relating to</w:t>
      </w:r>
      <w:r w:rsidRPr="00CD6DEA">
        <w:rPr>
          <w:rFonts w:ascii="Arial" w:hAnsi="Arial" w:cs="Arial"/>
        </w:rPr>
        <w:t xml:space="preserve"> protected characteristics</w:t>
      </w:r>
    </w:p>
    <w:p w:rsidR="00EE5605" w:rsidRPr="00CD6DEA" w:rsidRDefault="00EE5605" w:rsidP="00AD71A2">
      <w:pPr>
        <w:rPr>
          <w:rFonts w:ascii="Arial" w:hAnsi="Arial" w:cs="Arial"/>
        </w:rPr>
      </w:pPr>
      <w:r w:rsidRPr="00CD6DEA">
        <w:rPr>
          <w:rFonts w:ascii="Arial" w:hAnsi="Arial" w:cs="Arial"/>
        </w:rPr>
        <w:t xml:space="preserve">Redefine Structure for </w:t>
      </w:r>
      <w:r w:rsidR="005510FE" w:rsidRPr="00CD6DEA">
        <w:rPr>
          <w:rFonts w:ascii="Arial" w:hAnsi="Arial" w:cs="Arial"/>
        </w:rPr>
        <w:t xml:space="preserve">delivering the </w:t>
      </w:r>
      <w:r w:rsidRPr="00CD6DEA">
        <w:rPr>
          <w:rFonts w:ascii="Arial" w:hAnsi="Arial" w:cs="Arial"/>
        </w:rPr>
        <w:t xml:space="preserve">Equality and Diversity </w:t>
      </w:r>
      <w:r w:rsidR="005510FE" w:rsidRPr="00CD6DEA">
        <w:rPr>
          <w:rFonts w:ascii="Arial" w:hAnsi="Arial" w:cs="Arial"/>
        </w:rPr>
        <w:t xml:space="preserve">agenda </w:t>
      </w:r>
      <w:r w:rsidRPr="00CD6DEA">
        <w:rPr>
          <w:rFonts w:ascii="Arial" w:hAnsi="Arial" w:cs="Arial"/>
        </w:rPr>
        <w:t xml:space="preserve">across the Trust </w:t>
      </w:r>
    </w:p>
    <w:p w:rsidR="007F49CB" w:rsidRPr="00CD6DEA" w:rsidRDefault="007F49CB" w:rsidP="00AD71A2">
      <w:pPr>
        <w:rPr>
          <w:rFonts w:ascii="Arial" w:hAnsi="Arial" w:cs="Arial"/>
        </w:rPr>
      </w:pPr>
      <w:r w:rsidRPr="00CD6DEA">
        <w:rPr>
          <w:rFonts w:ascii="Arial" w:hAnsi="Arial" w:cs="Arial"/>
        </w:rPr>
        <w:t>Analyse Grievances and Disciplinary Cases in relation to ethnicity in particular to determine whether any specific issues or patterns can be identified.</w:t>
      </w:r>
    </w:p>
    <w:p w:rsidR="005510FE" w:rsidRDefault="007F49CB" w:rsidP="00AD71A2">
      <w:pPr>
        <w:rPr>
          <w:rFonts w:ascii="Arial" w:hAnsi="Arial" w:cs="Arial"/>
        </w:rPr>
      </w:pPr>
      <w:r w:rsidRPr="00CD6DEA">
        <w:rPr>
          <w:rFonts w:ascii="Arial" w:hAnsi="Arial" w:cs="Arial"/>
        </w:rPr>
        <w:t xml:space="preserve"> </w:t>
      </w:r>
      <w:r w:rsidR="005510FE" w:rsidRPr="00CD6DEA">
        <w:rPr>
          <w:rFonts w:ascii="Arial" w:hAnsi="Arial" w:cs="Arial"/>
        </w:rPr>
        <w:t>Further awareness training for managers</w:t>
      </w:r>
    </w:p>
    <w:p w:rsidR="00127F60" w:rsidRDefault="00127F60">
      <w:pPr>
        <w:spacing w:after="0" w:line="240" w:lineRule="auto"/>
        <w:rPr>
          <w:rFonts w:ascii="Arial" w:hAnsi="Arial" w:cs="Arial"/>
          <w:b/>
        </w:rPr>
      </w:pPr>
      <w:r>
        <w:rPr>
          <w:rFonts w:ascii="Arial" w:hAnsi="Arial" w:cs="Arial"/>
          <w:b/>
        </w:rPr>
        <w:br w:type="page"/>
      </w:r>
    </w:p>
    <w:p w:rsidR="00712AE7" w:rsidRPr="00D40986" w:rsidRDefault="00712AE7" w:rsidP="00AD71A2">
      <w:pPr>
        <w:rPr>
          <w:rFonts w:ascii="Arial" w:hAnsi="Arial" w:cs="Arial"/>
          <w:b/>
        </w:rPr>
      </w:pPr>
      <w:r w:rsidRPr="00D40986">
        <w:rPr>
          <w:b/>
        </w:rPr>
        <w:lastRenderedPageBreak/>
        <w:t>1</w:t>
      </w:r>
      <w:r w:rsidRPr="00D40986">
        <w:rPr>
          <w:b/>
        </w:rPr>
        <w:tab/>
      </w:r>
      <w:r w:rsidRPr="00D40986">
        <w:rPr>
          <w:rFonts w:ascii="Arial" w:hAnsi="Arial" w:cs="Arial"/>
          <w:b/>
        </w:rPr>
        <w:t>Equality Duty and Public Sector Equality Duty</w:t>
      </w:r>
    </w:p>
    <w:p w:rsidR="00712AE7" w:rsidRPr="00D40986" w:rsidRDefault="00712AE7" w:rsidP="00AD71A2">
      <w:pPr>
        <w:rPr>
          <w:rFonts w:ascii="Arial" w:hAnsi="Arial" w:cs="Arial"/>
          <w:b/>
        </w:rPr>
      </w:pPr>
      <w:r w:rsidRPr="00D40986">
        <w:rPr>
          <w:rFonts w:ascii="Arial" w:hAnsi="Arial" w:cs="Arial"/>
          <w:b/>
        </w:rPr>
        <w:t>1.1</w:t>
      </w:r>
      <w:r w:rsidRPr="00D40986">
        <w:rPr>
          <w:rFonts w:ascii="Arial" w:hAnsi="Arial" w:cs="Arial"/>
          <w:b/>
        </w:rPr>
        <w:tab/>
        <w:t>Background</w:t>
      </w:r>
    </w:p>
    <w:p w:rsidR="00712AE7" w:rsidRPr="00CD4AA4" w:rsidRDefault="00712AE7" w:rsidP="00AD71A2">
      <w:pPr>
        <w:rPr>
          <w:rFonts w:ascii="Arial" w:hAnsi="Arial" w:cs="Arial"/>
        </w:rPr>
      </w:pPr>
      <w:r w:rsidRPr="00CD4AA4">
        <w:rPr>
          <w:rFonts w:ascii="Arial" w:hAnsi="Arial" w:cs="Arial"/>
        </w:rPr>
        <w:t>The Equality Act 2010 came into force on the 1</w:t>
      </w:r>
      <w:r w:rsidRPr="00CD4AA4">
        <w:rPr>
          <w:rFonts w:ascii="Arial" w:hAnsi="Arial" w:cs="Arial"/>
          <w:vertAlign w:val="superscript"/>
        </w:rPr>
        <w:t>st</w:t>
      </w:r>
      <w:r w:rsidRPr="00CD4AA4">
        <w:rPr>
          <w:rFonts w:ascii="Arial" w:hAnsi="Arial" w:cs="Arial"/>
        </w:rPr>
        <w:t xml:space="preserve"> October 2010, replacing the previous anti-discrimination legislation in the UK.</w:t>
      </w:r>
    </w:p>
    <w:p w:rsidR="00712AE7" w:rsidRPr="00CD4AA4" w:rsidRDefault="00712AE7" w:rsidP="00AD71A2">
      <w:pPr>
        <w:rPr>
          <w:rFonts w:ascii="Arial" w:hAnsi="Arial" w:cs="Arial"/>
        </w:rPr>
      </w:pPr>
      <w:r w:rsidRPr="00CD4AA4">
        <w:rPr>
          <w:rFonts w:ascii="Arial" w:hAnsi="Arial" w:cs="Arial"/>
        </w:rPr>
        <w:t>Public sector organisations have specific responsibilities under the Act, namely the Public Sector Equality Duty (PSED) that came into force on the 6</w:t>
      </w:r>
      <w:r w:rsidRPr="00CD4AA4">
        <w:rPr>
          <w:rFonts w:ascii="Arial" w:hAnsi="Arial" w:cs="Arial"/>
          <w:vertAlign w:val="superscript"/>
        </w:rPr>
        <w:t>th</w:t>
      </w:r>
      <w:r w:rsidRPr="00CD4AA4">
        <w:rPr>
          <w:rFonts w:ascii="Arial" w:hAnsi="Arial" w:cs="Arial"/>
        </w:rPr>
        <w:t xml:space="preserve"> April 2011.  It consists of a general duty comprising 3 main aims, and specific duties.</w:t>
      </w:r>
    </w:p>
    <w:p w:rsidR="00712AE7" w:rsidRPr="00CD4AA4" w:rsidRDefault="00712AE7" w:rsidP="00AD71A2">
      <w:pPr>
        <w:rPr>
          <w:rFonts w:ascii="Arial" w:hAnsi="Arial" w:cs="Arial"/>
        </w:rPr>
      </w:pPr>
      <w:r w:rsidRPr="00CD4AA4">
        <w:rPr>
          <w:rFonts w:ascii="Arial" w:hAnsi="Arial" w:cs="Arial"/>
        </w:rPr>
        <w:t xml:space="preserve">The purpose of the Equality Duty is to embed equality considerations into the </w:t>
      </w:r>
      <w:r w:rsidR="00B23A3A" w:rsidRPr="00CD4AA4">
        <w:rPr>
          <w:rFonts w:ascii="Arial" w:hAnsi="Arial" w:cs="Arial"/>
        </w:rPr>
        <w:t>day-to-day</w:t>
      </w:r>
      <w:r w:rsidRPr="00CD4AA4">
        <w:rPr>
          <w:rFonts w:ascii="Arial" w:hAnsi="Arial" w:cs="Arial"/>
        </w:rPr>
        <w:t xml:space="preserve"> work of public bodies.  </w:t>
      </w:r>
    </w:p>
    <w:p w:rsidR="00712AE7" w:rsidRPr="00027368" w:rsidRDefault="00712AE7" w:rsidP="00AD71A2">
      <w:pPr>
        <w:rPr>
          <w:rFonts w:ascii="Arial" w:hAnsi="Arial" w:cs="Arial"/>
          <w:b/>
        </w:rPr>
      </w:pPr>
      <w:r w:rsidRPr="00027368">
        <w:rPr>
          <w:rFonts w:ascii="Arial" w:hAnsi="Arial" w:cs="Arial"/>
          <w:b/>
        </w:rPr>
        <w:t>The Equality Duty covers the following protected characteristics:</w:t>
      </w:r>
    </w:p>
    <w:p w:rsidR="00712AE7" w:rsidRPr="00027368" w:rsidRDefault="00712AE7" w:rsidP="00027368">
      <w:pPr>
        <w:pStyle w:val="ListParagraph"/>
        <w:numPr>
          <w:ilvl w:val="0"/>
          <w:numId w:val="37"/>
        </w:numPr>
        <w:rPr>
          <w:rFonts w:ascii="Arial" w:hAnsi="Arial" w:cs="Arial"/>
        </w:rPr>
      </w:pPr>
      <w:r w:rsidRPr="00027368">
        <w:rPr>
          <w:rFonts w:ascii="Arial" w:hAnsi="Arial" w:cs="Arial"/>
        </w:rPr>
        <w:t>Age</w:t>
      </w:r>
    </w:p>
    <w:p w:rsidR="00712AE7" w:rsidRPr="00027368" w:rsidRDefault="00712AE7" w:rsidP="00027368">
      <w:pPr>
        <w:pStyle w:val="ListParagraph"/>
        <w:numPr>
          <w:ilvl w:val="0"/>
          <w:numId w:val="37"/>
        </w:numPr>
        <w:rPr>
          <w:rFonts w:ascii="Arial" w:hAnsi="Arial" w:cs="Arial"/>
        </w:rPr>
      </w:pPr>
      <w:r w:rsidRPr="00027368">
        <w:rPr>
          <w:rFonts w:ascii="Arial" w:hAnsi="Arial" w:cs="Arial"/>
        </w:rPr>
        <w:t>Disability</w:t>
      </w:r>
    </w:p>
    <w:p w:rsidR="00712AE7" w:rsidRPr="00027368" w:rsidRDefault="00712AE7" w:rsidP="00027368">
      <w:pPr>
        <w:pStyle w:val="ListParagraph"/>
        <w:numPr>
          <w:ilvl w:val="0"/>
          <w:numId w:val="37"/>
        </w:numPr>
        <w:rPr>
          <w:rFonts w:ascii="Arial" w:hAnsi="Arial" w:cs="Arial"/>
        </w:rPr>
      </w:pPr>
      <w:r w:rsidRPr="00027368">
        <w:rPr>
          <w:rFonts w:ascii="Arial" w:hAnsi="Arial" w:cs="Arial"/>
        </w:rPr>
        <w:t>Gender Reassignment</w:t>
      </w:r>
    </w:p>
    <w:p w:rsidR="00712AE7" w:rsidRPr="00027368" w:rsidRDefault="00712AE7" w:rsidP="00027368">
      <w:pPr>
        <w:pStyle w:val="ListParagraph"/>
        <w:numPr>
          <w:ilvl w:val="0"/>
          <w:numId w:val="37"/>
        </w:numPr>
        <w:rPr>
          <w:rFonts w:ascii="Arial" w:hAnsi="Arial" w:cs="Arial"/>
        </w:rPr>
      </w:pPr>
      <w:r w:rsidRPr="00027368">
        <w:rPr>
          <w:rFonts w:ascii="Arial" w:hAnsi="Arial" w:cs="Arial"/>
        </w:rPr>
        <w:t>Pregnancy and maternity</w:t>
      </w:r>
    </w:p>
    <w:p w:rsidR="00712AE7" w:rsidRPr="00027368" w:rsidRDefault="00712AE7" w:rsidP="00027368">
      <w:pPr>
        <w:pStyle w:val="ListParagraph"/>
        <w:numPr>
          <w:ilvl w:val="0"/>
          <w:numId w:val="37"/>
        </w:numPr>
        <w:rPr>
          <w:rFonts w:ascii="Arial" w:hAnsi="Arial" w:cs="Arial"/>
        </w:rPr>
      </w:pPr>
      <w:r w:rsidRPr="00027368">
        <w:rPr>
          <w:rFonts w:ascii="Arial" w:hAnsi="Arial" w:cs="Arial"/>
        </w:rPr>
        <w:t>Race (includes ethnic or national origins, colour or nationality)</w:t>
      </w:r>
    </w:p>
    <w:p w:rsidR="00712AE7" w:rsidRPr="00027368" w:rsidRDefault="00712AE7" w:rsidP="00027368">
      <w:pPr>
        <w:pStyle w:val="ListParagraph"/>
        <w:numPr>
          <w:ilvl w:val="0"/>
          <w:numId w:val="37"/>
        </w:numPr>
        <w:rPr>
          <w:rFonts w:ascii="Arial" w:hAnsi="Arial" w:cs="Arial"/>
        </w:rPr>
      </w:pPr>
      <w:r w:rsidRPr="00027368">
        <w:rPr>
          <w:rFonts w:ascii="Arial" w:hAnsi="Arial" w:cs="Arial"/>
        </w:rPr>
        <w:t>Religion or belief (includes no belief)</w:t>
      </w:r>
    </w:p>
    <w:p w:rsidR="00712AE7" w:rsidRPr="00027368" w:rsidRDefault="00712AE7" w:rsidP="00027368">
      <w:pPr>
        <w:pStyle w:val="ListParagraph"/>
        <w:numPr>
          <w:ilvl w:val="0"/>
          <w:numId w:val="37"/>
        </w:numPr>
        <w:rPr>
          <w:rFonts w:ascii="Arial" w:hAnsi="Arial" w:cs="Arial"/>
        </w:rPr>
      </w:pPr>
      <w:r w:rsidRPr="00027368">
        <w:rPr>
          <w:rFonts w:ascii="Arial" w:hAnsi="Arial" w:cs="Arial"/>
        </w:rPr>
        <w:t>Sex</w:t>
      </w:r>
    </w:p>
    <w:p w:rsidR="00712AE7" w:rsidRPr="00027368" w:rsidRDefault="00712AE7" w:rsidP="00027368">
      <w:pPr>
        <w:pStyle w:val="ListParagraph"/>
        <w:numPr>
          <w:ilvl w:val="0"/>
          <w:numId w:val="37"/>
        </w:numPr>
        <w:rPr>
          <w:rFonts w:ascii="Arial" w:hAnsi="Arial" w:cs="Arial"/>
        </w:rPr>
      </w:pPr>
      <w:r w:rsidRPr="00027368">
        <w:rPr>
          <w:rFonts w:ascii="Arial" w:hAnsi="Arial" w:cs="Arial"/>
        </w:rPr>
        <w:t>Sexual orientation</w:t>
      </w:r>
    </w:p>
    <w:p w:rsidR="00712AE7" w:rsidRPr="00027368" w:rsidRDefault="00712AE7" w:rsidP="00027368">
      <w:pPr>
        <w:pStyle w:val="ListParagraph"/>
        <w:numPr>
          <w:ilvl w:val="0"/>
          <w:numId w:val="37"/>
        </w:numPr>
        <w:rPr>
          <w:rFonts w:ascii="Arial" w:hAnsi="Arial" w:cs="Arial"/>
        </w:rPr>
      </w:pPr>
      <w:r w:rsidRPr="00027368">
        <w:rPr>
          <w:rFonts w:ascii="Arial" w:hAnsi="Arial" w:cs="Arial"/>
        </w:rPr>
        <w:t>Marriage and civil partnerships are protected characteristics under the Act however under the Duty organisations only have to have due regard to the need to eliminate discrimination.</w:t>
      </w:r>
    </w:p>
    <w:p w:rsidR="00712AE7" w:rsidRPr="00027368" w:rsidRDefault="00712AE7" w:rsidP="00AD71A2">
      <w:pPr>
        <w:rPr>
          <w:rFonts w:ascii="Arial" w:hAnsi="Arial" w:cs="Arial"/>
          <w:b/>
        </w:rPr>
      </w:pPr>
      <w:r w:rsidRPr="00027368">
        <w:rPr>
          <w:rFonts w:ascii="Arial" w:hAnsi="Arial" w:cs="Arial"/>
          <w:b/>
        </w:rPr>
        <w:t>The General Duty</w:t>
      </w:r>
    </w:p>
    <w:p w:rsidR="00712AE7" w:rsidRPr="00CD4AA4" w:rsidRDefault="00712AE7" w:rsidP="00AD71A2">
      <w:pPr>
        <w:rPr>
          <w:rFonts w:ascii="Arial" w:hAnsi="Arial" w:cs="Arial"/>
        </w:rPr>
      </w:pPr>
      <w:r w:rsidRPr="00CD4AA4">
        <w:rPr>
          <w:rFonts w:ascii="Arial" w:hAnsi="Arial" w:cs="Arial"/>
        </w:rPr>
        <w:t>Under the General Duty public bodies are required to have due regard to the need to:</w:t>
      </w:r>
    </w:p>
    <w:p w:rsidR="00712AE7" w:rsidRPr="00027368" w:rsidRDefault="00712AE7" w:rsidP="00027368">
      <w:pPr>
        <w:pStyle w:val="ListParagraph"/>
        <w:numPr>
          <w:ilvl w:val="0"/>
          <w:numId w:val="38"/>
        </w:numPr>
        <w:rPr>
          <w:rFonts w:ascii="Arial" w:hAnsi="Arial" w:cs="Arial"/>
        </w:rPr>
      </w:pPr>
      <w:r w:rsidRPr="00027368">
        <w:rPr>
          <w:rFonts w:ascii="Arial" w:hAnsi="Arial" w:cs="Arial"/>
        </w:rPr>
        <w:t>Eliminate unlawful discrimination, harassment and victimisation and other conduct prohibited by the Equality Act 2010.</w:t>
      </w:r>
    </w:p>
    <w:p w:rsidR="00712AE7" w:rsidRPr="00027368" w:rsidRDefault="00712AE7" w:rsidP="00027368">
      <w:pPr>
        <w:pStyle w:val="ListParagraph"/>
        <w:numPr>
          <w:ilvl w:val="0"/>
          <w:numId w:val="38"/>
        </w:numPr>
        <w:rPr>
          <w:rFonts w:ascii="Arial" w:hAnsi="Arial" w:cs="Arial"/>
        </w:rPr>
      </w:pPr>
      <w:r w:rsidRPr="00027368">
        <w:rPr>
          <w:rFonts w:ascii="Arial" w:hAnsi="Arial" w:cs="Arial"/>
        </w:rPr>
        <w:t>Advance equality of opportunity between people from different groups</w:t>
      </w:r>
    </w:p>
    <w:p w:rsidR="00712AE7" w:rsidRPr="00027368" w:rsidRDefault="00712AE7" w:rsidP="00027368">
      <w:pPr>
        <w:pStyle w:val="ListParagraph"/>
        <w:numPr>
          <w:ilvl w:val="0"/>
          <w:numId w:val="38"/>
        </w:numPr>
        <w:rPr>
          <w:rFonts w:ascii="Arial" w:hAnsi="Arial" w:cs="Arial"/>
        </w:rPr>
      </w:pPr>
      <w:r w:rsidRPr="00027368">
        <w:rPr>
          <w:rFonts w:ascii="Arial" w:hAnsi="Arial" w:cs="Arial"/>
        </w:rPr>
        <w:t>Foster good relations between people from different groups</w:t>
      </w:r>
    </w:p>
    <w:p w:rsidR="00712AE7" w:rsidRPr="00027368" w:rsidRDefault="00712AE7" w:rsidP="00027368">
      <w:pPr>
        <w:pStyle w:val="ListParagraph"/>
        <w:numPr>
          <w:ilvl w:val="0"/>
          <w:numId w:val="38"/>
        </w:numPr>
        <w:rPr>
          <w:rFonts w:ascii="Arial" w:hAnsi="Arial" w:cs="Arial"/>
        </w:rPr>
      </w:pPr>
      <w:r w:rsidRPr="00027368">
        <w:rPr>
          <w:rFonts w:ascii="Arial" w:hAnsi="Arial" w:cs="Arial"/>
        </w:rPr>
        <w:t>Public sector organisations have a duty to meet the needs of people with protected characteristics and reduce or eliminate the disadvantage that such groups may suffer.</w:t>
      </w:r>
    </w:p>
    <w:p w:rsidR="00712AE7" w:rsidRPr="00027368" w:rsidRDefault="00712AE7" w:rsidP="00AD71A2">
      <w:pPr>
        <w:rPr>
          <w:rFonts w:ascii="Arial" w:hAnsi="Arial" w:cs="Arial"/>
          <w:b/>
        </w:rPr>
      </w:pPr>
      <w:r w:rsidRPr="00027368">
        <w:rPr>
          <w:rFonts w:ascii="Arial" w:hAnsi="Arial" w:cs="Arial"/>
          <w:b/>
        </w:rPr>
        <w:t>The Specific Duties</w:t>
      </w:r>
    </w:p>
    <w:p w:rsidR="00712AE7" w:rsidRPr="00CD4AA4" w:rsidRDefault="00712AE7" w:rsidP="00AD71A2">
      <w:pPr>
        <w:rPr>
          <w:rFonts w:ascii="Arial" w:hAnsi="Arial" w:cs="Arial"/>
        </w:rPr>
      </w:pPr>
      <w:r w:rsidRPr="00CD4AA4">
        <w:rPr>
          <w:rFonts w:ascii="Arial" w:hAnsi="Arial" w:cs="Arial"/>
        </w:rPr>
        <w:t>These duties require public bodies to set specific, measurable equality objectives and to publish information regarding their performance on equality.  The information that needs to be published is as follows:</w:t>
      </w:r>
    </w:p>
    <w:p w:rsidR="00712AE7" w:rsidRPr="00027368" w:rsidRDefault="00712AE7" w:rsidP="00027368">
      <w:pPr>
        <w:pStyle w:val="ListParagraph"/>
        <w:numPr>
          <w:ilvl w:val="0"/>
          <w:numId w:val="39"/>
        </w:numPr>
        <w:rPr>
          <w:rFonts w:ascii="Arial" w:hAnsi="Arial" w:cs="Arial"/>
        </w:rPr>
      </w:pPr>
      <w:r w:rsidRPr="00027368">
        <w:rPr>
          <w:rFonts w:ascii="Arial" w:hAnsi="Arial" w:cs="Arial"/>
        </w:rPr>
        <w:t>Equality objectives, at least every four years</w:t>
      </w:r>
    </w:p>
    <w:p w:rsidR="00712AE7" w:rsidRPr="00027368" w:rsidRDefault="00712AE7" w:rsidP="00027368">
      <w:pPr>
        <w:pStyle w:val="ListParagraph"/>
        <w:numPr>
          <w:ilvl w:val="0"/>
          <w:numId w:val="39"/>
        </w:numPr>
        <w:rPr>
          <w:rFonts w:ascii="Arial" w:hAnsi="Arial" w:cs="Arial"/>
        </w:rPr>
      </w:pPr>
      <w:r w:rsidRPr="00027368">
        <w:rPr>
          <w:rFonts w:ascii="Arial" w:hAnsi="Arial" w:cs="Arial"/>
        </w:rPr>
        <w:t>Information to demonstrate compliance with the equality duty, at least annually</w:t>
      </w:r>
    </w:p>
    <w:p w:rsidR="00D22566" w:rsidRDefault="00D22566" w:rsidP="00AD71A2">
      <w:pPr>
        <w:rPr>
          <w:rFonts w:ascii="Arial" w:hAnsi="Arial" w:cs="Arial"/>
          <w:b/>
        </w:rPr>
      </w:pPr>
    </w:p>
    <w:p w:rsidR="00127F60" w:rsidRDefault="00127F60" w:rsidP="00AD71A2">
      <w:pPr>
        <w:rPr>
          <w:rFonts w:ascii="Arial" w:hAnsi="Arial" w:cs="Arial"/>
          <w:b/>
        </w:rPr>
      </w:pPr>
    </w:p>
    <w:p w:rsidR="00492642" w:rsidRDefault="00492642" w:rsidP="00AD71A2">
      <w:pPr>
        <w:rPr>
          <w:rFonts w:ascii="Arial" w:hAnsi="Arial" w:cs="Arial"/>
          <w:b/>
        </w:rPr>
      </w:pPr>
    </w:p>
    <w:p w:rsidR="00712AE7" w:rsidRPr="00027368" w:rsidRDefault="00027368" w:rsidP="00AD71A2">
      <w:pPr>
        <w:rPr>
          <w:rFonts w:ascii="Arial" w:hAnsi="Arial" w:cs="Arial"/>
          <w:b/>
        </w:rPr>
      </w:pPr>
      <w:r>
        <w:rPr>
          <w:rFonts w:ascii="Arial" w:hAnsi="Arial" w:cs="Arial"/>
          <w:b/>
        </w:rPr>
        <w:lastRenderedPageBreak/>
        <w:t xml:space="preserve">1.2: </w:t>
      </w:r>
      <w:r w:rsidR="00712AE7" w:rsidRPr="00027368">
        <w:rPr>
          <w:rFonts w:ascii="Arial" w:hAnsi="Arial" w:cs="Arial"/>
          <w:b/>
        </w:rPr>
        <w:t>Workforce Monitoring and Information</w:t>
      </w:r>
      <w:r w:rsidR="005D4927">
        <w:rPr>
          <w:rFonts w:ascii="Arial" w:hAnsi="Arial" w:cs="Arial"/>
          <w:b/>
        </w:rPr>
        <w:t>:</w:t>
      </w:r>
    </w:p>
    <w:p w:rsidR="00027368" w:rsidRDefault="00712AE7" w:rsidP="005D4927">
      <w:pPr>
        <w:jc w:val="both"/>
        <w:rPr>
          <w:rFonts w:ascii="Arial" w:hAnsi="Arial" w:cs="Arial"/>
        </w:rPr>
      </w:pPr>
      <w:r w:rsidRPr="00CD4AA4">
        <w:rPr>
          <w:rFonts w:ascii="Arial" w:hAnsi="Arial" w:cs="Arial"/>
        </w:rPr>
        <w:t>The Equality Act requires employers with 150 plus employees to produce and monitor data on their workforce to demonstrate that they can show compliance with the Public Sector Equality Duty.</w:t>
      </w:r>
      <w:r w:rsidR="00027368">
        <w:rPr>
          <w:rFonts w:ascii="Arial" w:hAnsi="Arial" w:cs="Arial"/>
        </w:rPr>
        <w:t xml:space="preserve"> </w:t>
      </w:r>
      <w:r w:rsidR="00027368" w:rsidRPr="00CD4AA4">
        <w:rPr>
          <w:rFonts w:ascii="Arial" w:hAnsi="Arial" w:cs="Arial"/>
        </w:rPr>
        <w:t xml:space="preserve">Workforce equality monitoring data is collected when an individual commences employment at HEFT, although staff can opt out of this.  The workforce profile is based on The Trust’s staff in post data as at </w:t>
      </w:r>
      <w:r w:rsidR="0078482D">
        <w:rPr>
          <w:rFonts w:ascii="Arial" w:hAnsi="Arial" w:cs="Arial"/>
        </w:rPr>
        <w:t>30</w:t>
      </w:r>
      <w:r w:rsidR="0078482D" w:rsidRPr="0078482D">
        <w:rPr>
          <w:rFonts w:ascii="Arial" w:hAnsi="Arial" w:cs="Arial"/>
          <w:vertAlign w:val="superscript"/>
        </w:rPr>
        <w:t>th</w:t>
      </w:r>
      <w:r w:rsidR="0078482D">
        <w:rPr>
          <w:rFonts w:ascii="Arial" w:hAnsi="Arial" w:cs="Arial"/>
        </w:rPr>
        <w:t xml:space="preserve"> September 2015</w:t>
      </w:r>
      <w:r w:rsidR="00027368" w:rsidRPr="00CD4AA4">
        <w:rPr>
          <w:rFonts w:ascii="Arial" w:hAnsi="Arial" w:cs="Arial"/>
        </w:rPr>
        <w:t xml:space="preserve">.  The reference period for recruitment, employee relations and training data is </w:t>
      </w:r>
      <w:r w:rsidR="0078482D">
        <w:rPr>
          <w:rFonts w:ascii="Arial" w:hAnsi="Arial" w:cs="Arial"/>
        </w:rPr>
        <w:t xml:space="preserve">October </w:t>
      </w:r>
      <w:r w:rsidR="00027368" w:rsidRPr="00CD4AA4">
        <w:rPr>
          <w:rFonts w:ascii="Arial" w:hAnsi="Arial" w:cs="Arial"/>
        </w:rPr>
        <w:t>201</w:t>
      </w:r>
      <w:r w:rsidR="00D22566">
        <w:rPr>
          <w:rFonts w:ascii="Arial" w:hAnsi="Arial" w:cs="Arial"/>
        </w:rPr>
        <w:t>4</w:t>
      </w:r>
      <w:r w:rsidR="00027368" w:rsidRPr="00CD4AA4">
        <w:rPr>
          <w:rFonts w:ascii="Arial" w:hAnsi="Arial" w:cs="Arial"/>
        </w:rPr>
        <w:t xml:space="preserve"> – </w:t>
      </w:r>
      <w:r w:rsidR="0078482D">
        <w:rPr>
          <w:rFonts w:ascii="Arial" w:hAnsi="Arial" w:cs="Arial"/>
        </w:rPr>
        <w:t xml:space="preserve">September 2015.  </w:t>
      </w:r>
      <w:r w:rsidR="00027368" w:rsidRPr="00CD4AA4">
        <w:rPr>
          <w:rFonts w:ascii="Arial" w:hAnsi="Arial" w:cs="Arial"/>
        </w:rPr>
        <w:t>Staff survey information is based on the 201</w:t>
      </w:r>
      <w:r w:rsidR="00D22566">
        <w:rPr>
          <w:rFonts w:ascii="Arial" w:hAnsi="Arial" w:cs="Arial"/>
        </w:rPr>
        <w:t>4</w:t>
      </w:r>
      <w:r w:rsidR="00027368" w:rsidRPr="00CD4AA4">
        <w:rPr>
          <w:rFonts w:ascii="Arial" w:hAnsi="Arial" w:cs="Arial"/>
        </w:rPr>
        <w:t xml:space="preserve"> NHS Staff Survey analysis.</w:t>
      </w:r>
      <w:r w:rsidR="009C49EB">
        <w:rPr>
          <w:rFonts w:ascii="Arial" w:hAnsi="Arial" w:cs="Arial"/>
        </w:rPr>
        <w:t xml:space="preserve"> </w:t>
      </w:r>
      <w:r w:rsidR="00492642">
        <w:rPr>
          <w:rFonts w:ascii="Arial" w:hAnsi="Arial" w:cs="Arial"/>
        </w:rPr>
        <w:t xml:space="preserve"> </w:t>
      </w:r>
      <w:r w:rsidR="009C49EB" w:rsidRPr="00CD4AA4">
        <w:rPr>
          <w:rFonts w:ascii="Arial" w:hAnsi="Arial" w:cs="Arial"/>
        </w:rPr>
        <w:t>Population d</w:t>
      </w:r>
      <w:r w:rsidR="009C49EB">
        <w:rPr>
          <w:rFonts w:ascii="Arial" w:hAnsi="Arial" w:cs="Arial"/>
        </w:rPr>
        <w:t xml:space="preserve">ata is based on the 2011 Census. </w:t>
      </w:r>
      <w:r w:rsidR="009C49EB" w:rsidRPr="00CD4AA4">
        <w:rPr>
          <w:rFonts w:ascii="Arial" w:hAnsi="Arial" w:cs="Arial"/>
        </w:rPr>
        <w:t>Where available, data is compared to that produced for the previous year.</w:t>
      </w:r>
      <w:r w:rsidR="005D4927">
        <w:rPr>
          <w:rFonts w:ascii="Arial" w:hAnsi="Arial" w:cs="Arial"/>
        </w:rPr>
        <w:t xml:space="preserve"> </w:t>
      </w:r>
      <w:r w:rsidR="005D4927" w:rsidRPr="00CD4AA4">
        <w:rPr>
          <w:rFonts w:ascii="Arial" w:hAnsi="Arial" w:cs="Arial"/>
        </w:rPr>
        <w:t xml:space="preserve">Selected data has been included within this report to illustrate each protected characteristic.  Further data is </w:t>
      </w:r>
      <w:r w:rsidR="0078482D">
        <w:rPr>
          <w:rFonts w:ascii="Arial" w:hAnsi="Arial" w:cs="Arial"/>
        </w:rPr>
        <w:t xml:space="preserve">available in the </w:t>
      </w:r>
      <w:r w:rsidR="005D4927" w:rsidRPr="00CD4AA4">
        <w:rPr>
          <w:rFonts w:ascii="Arial" w:hAnsi="Arial" w:cs="Arial"/>
        </w:rPr>
        <w:t>accompanying workforce profiles</w:t>
      </w:r>
      <w:r w:rsidR="00492642">
        <w:rPr>
          <w:rFonts w:ascii="Arial" w:hAnsi="Arial" w:cs="Arial"/>
        </w:rPr>
        <w:t>.</w:t>
      </w:r>
    </w:p>
    <w:p w:rsidR="00492642" w:rsidRDefault="00492642" w:rsidP="005D4927">
      <w:pPr>
        <w:jc w:val="both"/>
        <w:rPr>
          <w:rFonts w:ascii="Arial" w:hAnsi="Arial" w:cs="Arial"/>
        </w:rPr>
      </w:pPr>
      <w:r>
        <w:rPr>
          <w:rFonts w:ascii="Arial" w:hAnsi="Arial" w:cs="Arial"/>
        </w:rPr>
        <w:t xml:space="preserve">In order to bring the 2016 Equality Report in line with the end of January publication requirement, it is feasible that some data will overlap with the 2015 report, </w:t>
      </w:r>
      <w:r w:rsidR="004911CA">
        <w:rPr>
          <w:rFonts w:ascii="Arial" w:hAnsi="Arial" w:cs="Arial"/>
        </w:rPr>
        <w:t>e.g.</w:t>
      </w:r>
      <w:r>
        <w:rPr>
          <w:rFonts w:ascii="Arial" w:hAnsi="Arial" w:cs="Arial"/>
        </w:rPr>
        <w:t xml:space="preserve"> National Staff Survey results.  This </w:t>
      </w:r>
      <w:r w:rsidR="004911CA">
        <w:rPr>
          <w:rFonts w:ascii="Arial" w:hAnsi="Arial" w:cs="Arial"/>
        </w:rPr>
        <w:t>will not be the case in future reporting years.</w:t>
      </w:r>
    </w:p>
    <w:p w:rsidR="005B6F3D" w:rsidRDefault="005B6F3D" w:rsidP="00AD71A2">
      <w:pPr>
        <w:rPr>
          <w:rFonts w:ascii="Arial" w:hAnsi="Arial" w:cs="Arial"/>
          <w:b/>
        </w:rPr>
      </w:pPr>
    </w:p>
    <w:p w:rsidR="00712AE7" w:rsidRPr="009C49EB" w:rsidRDefault="00712AE7" w:rsidP="00AD71A2">
      <w:pPr>
        <w:rPr>
          <w:rFonts w:ascii="Arial" w:hAnsi="Arial" w:cs="Arial"/>
          <w:b/>
        </w:rPr>
      </w:pPr>
      <w:r w:rsidRPr="009C49EB">
        <w:rPr>
          <w:rFonts w:ascii="Arial" w:hAnsi="Arial" w:cs="Arial"/>
          <w:b/>
        </w:rPr>
        <w:t>2.0</w:t>
      </w:r>
      <w:r w:rsidRPr="009C49EB">
        <w:rPr>
          <w:rFonts w:ascii="Arial" w:hAnsi="Arial" w:cs="Arial"/>
          <w:b/>
        </w:rPr>
        <w:tab/>
        <w:t>Ethnicity Profile</w:t>
      </w:r>
    </w:p>
    <w:p w:rsidR="00712AE7" w:rsidRPr="00CD4AA4" w:rsidRDefault="00712AE7" w:rsidP="00AD71A2">
      <w:pPr>
        <w:rPr>
          <w:rFonts w:ascii="Arial" w:hAnsi="Arial" w:cs="Arial"/>
        </w:rPr>
      </w:pPr>
      <w:r w:rsidRPr="00CD4AA4">
        <w:rPr>
          <w:rFonts w:ascii="Arial" w:hAnsi="Arial" w:cs="Arial"/>
          <w:i/>
        </w:rPr>
        <w:t xml:space="preserve">Note regarding calculations: </w:t>
      </w:r>
      <w:r w:rsidRPr="00CD4AA4">
        <w:rPr>
          <w:rFonts w:ascii="Arial" w:hAnsi="Arial" w:cs="Arial"/>
        </w:rPr>
        <w:t xml:space="preserve">Approximately </w:t>
      </w:r>
      <w:r w:rsidR="0078482D">
        <w:rPr>
          <w:rFonts w:ascii="Arial" w:hAnsi="Arial" w:cs="Arial"/>
        </w:rPr>
        <w:t>7</w:t>
      </w:r>
      <w:r w:rsidRPr="00CD4AA4">
        <w:rPr>
          <w:rFonts w:ascii="Arial" w:hAnsi="Arial" w:cs="Arial"/>
        </w:rPr>
        <w:t>% of staff did not provide details of ethnicity.  Therefore the internal percentage figures have been recalculated to exclude them and enable direct comparisons with the local population.</w:t>
      </w:r>
    </w:p>
    <w:p w:rsidR="00712AE7" w:rsidRPr="00273F7C" w:rsidRDefault="00712AE7" w:rsidP="00AD71A2">
      <w:pPr>
        <w:rPr>
          <w:rFonts w:ascii="Arial" w:hAnsi="Arial" w:cs="Arial"/>
          <w:b/>
        </w:rPr>
      </w:pPr>
      <w:r w:rsidRPr="00273F7C">
        <w:rPr>
          <w:rFonts w:ascii="Arial" w:hAnsi="Arial" w:cs="Arial"/>
          <w:b/>
        </w:rPr>
        <w:t>2.1</w:t>
      </w:r>
      <w:r w:rsidRPr="00273F7C">
        <w:rPr>
          <w:rFonts w:ascii="Arial" w:hAnsi="Arial" w:cs="Arial"/>
          <w:b/>
        </w:rPr>
        <w:tab/>
        <w:t>Ethnicity Profile against the local population</w:t>
      </w:r>
    </w:p>
    <w:tbl>
      <w:tblPr>
        <w:tblW w:w="97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2476"/>
        <w:gridCol w:w="2477"/>
        <w:gridCol w:w="2477"/>
      </w:tblGrid>
      <w:tr w:rsidR="00712AE7" w:rsidRPr="009C49EB" w:rsidTr="007351C9">
        <w:tc>
          <w:tcPr>
            <w:tcW w:w="9798" w:type="dxa"/>
            <w:gridSpan w:val="4"/>
            <w:shd w:val="clear" w:color="auto" w:fill="auto"/>
          </w:tcPr>
          <w:p w:rsidR="00712AE7" w:rsidRPr="00273F7C" w:rsidRDefault="00712AE7" w:rsidP="007351C9">
            <w:pPr>
              <w:jc w:val="both"/>
              <w:rPr>
                <w:rFonts w:ascii="Arial" w:eastAsia="Times New Roman" w:hAnsi="Arial" w:cs="Arial"/>
                <w:b/>
              </w:rPr>
            </w:pPr>
            <w:r w:rsidRPr="00273F7C">
              <w:rPr>
                <w:rFonts w:ascii="Arial" w:eastAsia="Times New Roman" w:hAnsi="Arial" w:cs="Arial"/>
                <w:b/>
              </w:rPr>
              <w:t>Table 1 - Ethnicity Profile of HEFT against the local population</w:t>
            </w:r>
          </w:p>
        </w:tc>
      </w:tr>
      <w:tr w:rsidR="00712AE7" w:rsidRPr="009C49EB" w:rsidTr="007351C9">
        <w:tc>
          <w:tcPr>
            <w:tcW w:w="2368" w:type="dxa"/>
            <w:shd w:val="clear" w:color="auto" w:fill="auto"/>
          </w:tcPr>
          <w:p w:rsidR="00712AE7" w:rsidRPr="00273F7C" w:rsidRDefault="00712AE7" w:rsidP="007351C9">
            <w:pPr>
              <w:jc w:val="both"/>
              <w:rPr>
                <w:rFonts w:ascii="Arial" w:eastAsia="Times New Roman" w:hAnsi="Arial" w:cs="Arial"/>
              </w:rPr>
            </w:pPr>
          </w:p>
        </w:tc>
        <w:tc>
          <w:tcPr>
            <w:tcW w:w="2476" w:type="dxa"/>
            <w:shd w:val="clear" w:color="auto" w:fill="auto"/>
          </w:tcPr>
          <w:p w:rsidR="00712AE7" w:rsidRPr="00273F7C" w:rsidRDefault="00712AE7" w:rsidP="007351C9">
            <w:pPr>
              <w:jc w:val="right"/>
              <w:rPr>
                <w:rFonts w:ascii="Arial" w:eastAsia="Times New Roman" w:hAnsi="Arial" w:cs="Arial"/>
              </w:rPr>
            </w:pPr>
            <w:r w:rsidRPr="00273F7C">
              <w:rPr>
                <w:rFonts w:ascii="Arial" w:eastAsia="Times New Roman" w:hAnsi="Arial" w:cs="Arial"/>
              </w:rPr>
              <w:t>Local Population*</w:t>
            </w:r>
          </w:p>
        </w:tc>
        <w:tc>
          <w:tcPr>
            <w:tcW w:w="2477" w:type="dxa"/>
            <w:shd w:val="clear" w:color="auto" w:fill="auto"/>
          </w:tcPr>
          <w:p w:rsidR="00712AE7" w:rsidRPr="00273F7C" w:rsidRDefault="00712AE7" w:rsidP="00796D95">
            <w:pPr>
              <w:jc w:val="right"/>
              <w:rPr>
                <w:rFonts w:ascii="Arial" w:eastAsia="Times New Roman" w:hAnsi="Arial" w:cs="Arial"/>
              </w:rPr>
            </w:pPr>
            <w:r w:rsidRPr="00273F7C">
              <w:rPr>
                <w:rFonts w:ascii="Arial" w:eastAsia="Times New Roman" w:hAnsi="Arial" w:cs="Arial"/>
              </w:rPr>
              <w:t>Staff in post Jan ‘1</w:t>
            </w:r>
            <w:r w:rsidR="00796D95">
              <w:rPr>
                <w:rFonts w:ascii="Arial" w:eastAsia="Times New Roman" w:hAnsi="Arial" w:cs="Arial"/>
              </w:rPr>
              <w:t>5</w:t>
            </w:r>
          </w:p>
        </w:tc>
        <w:tc>
          <w:tcPr>
            <w:tcW w:w="2477" w:type="dxa"/>
            <w:shd w:val="clear" w:color="auto" w:fill="auto"/>
          </w:tcPr>
          <w:p w:rsidR="00712AE7" w:rsidRPr="00273F7C" w:rsidRDefault="00712AE7" w:rsidP="00796D95">
            <w:pPr>
              <w:jc w:val="right"/>
              <w:rPr>
                <w:rFonts w:ascii="Arial" w:eastAsia="Times New Roman" w:hAnsi="Arial" w:cs="Arial"/>
              </w:rPr>
            </w:pPr>
            <w:r w:rsidRPr="00273F7C">
              <w:rPr>
                <w:rFonts w:ascii="Arial" w:eastAsia="Times New Roman" w:hAnsi="Arial" w:cs="Arial"/>
              </w:rPr>
              <w:t xml:space="preserve">Staff in post </w:t>
            </w:r>
            <w:r w:rsidR="00796D95">
              <w:rPr>
                <w:rFonts w:ascii="Arial" w:eastAsia="Times New Roman" w:hAnsi="Arial" w:cs="Arial"/>
              </w:rPr>
              <w:t>Sep ‘15</w:t>
            </w:r>
          </w:p>
        </w:tc>
      </w:tr>
      <w:tr w:rsidR="00712AE7" w:rsidRPr="009C49EB" w:rsidTr="007351C9">
        <w:tc>
          <w:tcPr>
            <w:tcW w:w="2368" w:type="dxa"/>
            <w:shd w:val="clear" w:color="auto" w:fill="auto"/>
          </w:tcPr>
          <w:p w:rsidR="00712AE7" w:rsidRPr="00273F7C" w:rsidRDefault="00712AE7" w:rsidP="007351C9">
            <w:pPr>
              <w:jc w:val="both"/>
              <w:rPr>
                <w:rFonts w:ascii="Arial" w:eastAsia="Times New Roman" w:hAnsi="Arial" w:cs="Arial"/>
              </w:rPr>
            </w:pPr>
            <w:r w:rsidRPr="00273F7C">
              <w:rPr>
                <w:rFonts w:ascii="Arial" w:eastAsia="Times New Roman" w:hAnsi="Arial" w:cs="Arial"/>
              </w:rPr>
              <w:t>White</w:t>
            </w:r>
          </w:p>
        </w:tc>
        <w:tc>
          <w:tcPr>
            <w:tcW w:w="2476" w:type="dxa"/>
            <w:shd w:val="clear" w:color="auto" w:fill="auto"/>
          </w:tcPr>
          <w:p w:rsidR="00712AE7" w:rsidRPr="00273F7C" w:rsidRDefault="00712AE7" w:rsidP="007351C9">
            <w:pPr>
              <w:jc w:val="right"/>
              <w:rPr>
                <w:rFonts w:ascii="Arial" w:eastAsia="Times New Roman" w:hAnsi="Arial" w:cs="Arial"/>
              </w:rPr>
            </w:pPr>
            <w:r w:rsidRPr="00273F7C">
              <w:rPr>
                <w:rFonts w:ascii="Arial" w:eastAsia="Times New Roman" w:hAnsi="Arial" w:cs="Arial"/>
              </w:rPr>
              <w:t>71%</w:t>
            </w:r>
          </w:p>
        </w:tc>
        <w:tc>
          <w:tcPr>
            <w:tcW w:w="2477" w:type="dxa"/>
            <w:shd w:val="clear" w:color="auto" w:fill="auto"/>
          </w:tcPr>
          <w:p w:rsidR="00712AE7" w:rsidRPr="00273F7C" w:rsidRDefault="00796D95" w:rsidP="007351C9">
            <w:pPr>
              <w:jc w:val="right"/>
              <w:rPr>
                <w:rFonts w:ascii="Arial" w:eastAsia="Times New Roman" w:hAnsi="Arial" w:cs="Arial"/>
              </w:rPr>
            </w:pPr>
            <w:r>
              <w:rPr>
                <w:rFonts w:ascii="Arial" w:eastAsia="Times New Roman" w:hAnsi="Arial" w:cs="Arial"/>
              </w:rPr>
              <w:t>73.7</w:t>
            </w:r>
            <w:r w:rsidR="00712AE7" w:rsidRPr="00273F7C">
              <w:rPr>
                <w:rFonts w:ascii="Arial" w:eastAsia="Times New Roman" w:hAnsi="Arial" w:cs="Arial"/>
              </w:rPr>
              <w:t>%</w:t>
            </w:r>
          </w:p>
        </w:tc>
        <w:tc>
          <w:tcPr>
            <w:tcW w:w="2477" w:type="dxa"/>
            <w:shd w:val="clear" w:color="auto" w:fill="auto"/>
          </w:tcPr>
          <w:p w:rsidR="00712AE7" w:rsidRPr="00273F7C" w:rsidRDefault="009921D0" w:rsidP="007351C9">
            <w:pPr>
              <w:jc w:val="right"/>
              <w:rPr>
                <w:rFonts w:ascii="Arial" w:eastAsia="Times New Roman" w:hAnsi="Arial" w:cs="Arial"/>
              </w:rPr>
            </w:pPr>
            <w:r>
              <w:rPr>
                <w:rFonts w:ascii="Arial" w:eastAsia="Times New Roman" w:hAnsi="Arial" w:cs="Arial"/>
              </w:rPr>
              <w:t>72.7</w:t>
            </w:r>
            <w:r w:rsidR="005B6F3D">
              <w:rPr>
                <w:rFonts w:ascii="Arial" w:eastAsia="Times New Roman" w:hAnsi="Arial" w:cs="Arial"/>
              </w:rPr>
              <w:t>%</w:t>
            </w:r>
          </w:p>
        </w:tc>
      </w:tr>
      <w:tr w:rsidR="00712AE7" w:rsidRPr="009C49EB" w:rsidTr="005D4927">
        <w:trPr>
          <w:trHeight w:val="329"/>
        </w:trPr>
        <w:tc>
          <w:tcPr>
            <w:tcW w:w="2368" w:type="dxa"/>
            <w:shd w:val="clear" w:color="auto" w:fill="auto"/>
          </w:tcPr>
          <w:p w:rsidR="00712AE7" w:rsidRPr="00273F7C" w:rsidRDefault="00712AE7" w:rsidP="007351C9">
            <w:pPr>
              <w:jc w:val="both"/>
              <w:rPr>
                <w:rFonts w:ascii="Arial" w:eastAsia="Times New Roman" w:hAnsi="Arial" w:cs="Arial"/>
              </w:rPr>
            </w:pPr>
            <w:r w:rsidRPr="00273F7C">
              <w:rPr>
                <w:rFonts w:ascii="Arial" w:eastAsia="Times New Roman" w:hAnsi="Arial" w:cs="Arial"/>
              </w:rPr>
              <w:t>BME</w:t>
            </w:r>
          </w:p>
        </w:tc>
        <w:tc>
          <w:tcPr>
            <w:tcW w:w="2476" w:type="dxa"/>
            <w:shd w:val="clear" w:color="auto" w:fill="auto"/>
          </w:tcPr>
          <w:p w:rsidR="00712AE7" w:rsidRPr="00273F7C" w:rsidRDefault="00712AE7" w:rsidP="007351C9">
            <w:pPr>
              <w:jc w:val="right"/>
              <w:rPr>
                <w:rFonts w:ascii="Arial" w:eastAsia="Times New Roman" w:hAnsi="Arial" w:cs="Arial"/>
              </w:rPr>
            </w:pPr>
            <w:r w:rsidRPr="00273F7C">
              <w:rPr>
                <w:rFonts w:ascii="Arial" w:eastAsia="Times New Roman" w:hAnsi="Arial" w:cs="Arial"/>
              </w:rPr>
              <w:t>29%</w:t>
            </w:r>
          </w:p>
        </w:tc>
        <w:tc>
          <w:tcPr>
            <w:tcW w:w="2477" w:type="dxa"/>
            <w:shd w:val="clear" w:color="auto" w:fill="auto"/>
          </w:tcPr>
          <w:p w:rsidR="00712AE7" w:rsidRPr="00273F7C" w:rsidRDefault="00796D95" w:rsidP="007351C9">
            <w:pPr>
              <w:jc w:val="right"/>
              <w:rPr>
                <w:rFonts w:ascii="Arial" w:eastAsia="Times New Roman" w:hAnsi="Arial" w:cs="Arial"/>
              </w:rPr>
            </w:pPr>
            <w:r>
              <w:rPr>
                <w:rFonts w:ascii="Arial" w:eastAsia="Times New Roman" w:hAnsi="Arial" w:cs="Arial"/>
              </w:rPr>
              <w:t>26.3</w:t>
            </w:r>
            <w:r w:rsidR="00712AE7" w:rsidRPr="00273F7C">
              <w:rPr>
                <w:rFonts w:ascii="Arial" w:eastAsia="Times New Roman" w:hAnsi="Arial" w:cs="Arial"/>
              </w:rPr>
              <w:t>%</w:t>
            </w:r>
          </w:p>
        </w:tc>
        <w:tc>
          <w:tcPr>
            <w:tcW w:w="2477" w:type="dxa"/>
            <w:shd w:val="clear" w:color="auto" w:fill="auto"/>
          </w:tcPr>
          <w:p w:rsidR="00712AE7" w:rsidRPr="00273F7C" w:rsidRDefault="009921D0" w:rsidP="007351C9">
            <w:pPr>
              <w:jc w:val="right"/>
              <w:rPr>
                <w:rFonts w:ascii="Arial" w:eastAsia="Times New Roman" w:hAnsi="Arial" w:cs="Arial"/>
              </w:rPr>
            </w:pPr>
            <w:r>
              <w:rPr>
                <w:rFonts w:ascii="Arial" w:eastAsia="Times New Roman" w:hAnsi="Arial" w:cs="Arial"/>
              </w:rPr>
              <w:t>27.3</w:t>
            </w:r>
            <w:r w:rsidR="005B6F3D">
              <w:rPr>
                <w:rFonts w:ascii="Arial" w:eastAsia="Times New Roman" w:hAnsi="Arial" w:cs="Arial"/>
              </w:rPr>
              <w:t>%</w:t>
            </w:r>
          </w:p>
        </w:tc>
      </w:tr>
    </w:tbl>
    <w:p w:rsidR="00712AE7" w:rsidRDefault="00712AE7" w:rsidP="00712AE7">
      <w:pPr>
        <w:jc w:val="both"/>
        <w:rPr>
          <w:rFonts w:cs="Arial"/>
          <w:sz w:val="20"/>
        </w:rPr>
      </w:pPr>
    </w:p>
    <w:tbl>
      <w:tblPr>
        <w:tblW w:w="97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2476"/>
        <w:gridCol w:w="2477"/>
        <w:gridCol w:w="2477"/>
      </w:tblGrid>
      <w:tr w:rsidR="00796564" w:rsidRPr="009C49EB" w:rsidTr="00796564">
        <w:tc>
          <w:tcPr>
            <w:tcW w:w="9798" w:type="dxa"/>
            <w:gridSpan w:val="4"/>
            <w:shd w:val="clear" w:color="auto" w:fill="auto"/>
          </w:tcPr>
          <w:p w:rsidR="00796564" w:rsidRPr="00273F7C" w:rsidRDefault="00796564" w:rsidP="009A6A34">
            <w:pPr>
              <w:jc w:val="both"/>
              <w:rPr>
                <w:rFonts w:ascii="Arial" w:eastAsia="Times New Roman" w:hAnsi="Arial" w:cs="Arial"/>
                <w:b/>
              </w:rPr>
            </w:pPr>
            <w:r w:rsidRPr="00273F7C">
              <w:rPr>
                <w:rFonts w:ascii="Arial" w:eastAsia="Times New Roman" w:hAnsi="Arial" w:cs="Arial"/>
                <w:b/>
              </w:rPr>
              <w:t xml:space="preserve">Table </w:t>
            </w:r>
            <w:r w:rsidR="009A6A34" w:rsidRPr="00273F7C">
              <w:rPr>
                <w:rFonts w:ascii="Arial" w:eastAsia="Times New Roman" w:hAnsi="Arial" w:cs="Arial"/>
                <w:b/>
              </w:rPr>
              <w:t>2</w:t>
            </w:r>
            <w:r w:rsidRPr="00273F7C">
              <w:rPr>
                <w:rFonts w:ascii="Arial" w:eastAsia="Times New Roman" w:hAnsi="Arial" w:cs="Arial"/>
                <w:b/>
              </w:rPr>
              <w:t xml:space="preserve"> - Ethnicity Profile of Heartlands Hospital against the local population</w:t>
            </w:r>
          </w:p>
        </w:tc>
      </w:tr>
      <w:tr w:rsidR="00796564" w:rsidRPr="009C49EB" w:rsidTr="00796564">
        <w:tc>
          <w:tcPr>
            <w:tcW w:w="2368" w:type="dxa"/>
            <w:shd w:val="clear" w:color="auto" w:fill="auto"/>
          </w:tcPr>
          <w:p w:rsidR="00796564" w:rsidRPr="00273F7C" w:rsidRDefault="00796564" w:rsidP="00796564">
            <w:pPr>
              <w:jc w:val="both"/>
              <w:rPr>
                <w:rFonts w:ascii="Arial" w:eastAsia="Times New Roman" w:hAnsi="Arial" w:cs="Arial"/>
              </w:rPr>
            </w:pPr>
          </w:p>
        </w:tc>
        <w:tc>
          <w:tcPr>
            <w:tcW w:w="2476" w:type="dxa"/>
            <w:shd w:val="clear" w:color="auto" w:fill="auto"/>
          </w:tcPr>
          <w:p w:rsidR="00796564" w:rsidRPr="00273F7C" w:rsidRDefault="00796564" w:rsidP="00796564">
            <w:pPr>
              <w:jc w:val="right"/>
              <w:rPr>
                <w:rFonts w:ascii="Arial" w:eastAsia="Times New Roman" w:hAnsi="Arial" w:cs="Arial"/>
              </w:rPr>
            </w:pPr>
            <w:r w:rsidRPr="00273F7C">
              <w:rPr>
                <w:rFonts w:ascii="Arial" w:eastAsia="Times New Roman" w:hAnsi="Arial" w:cs="Arial"/>
              </w:rPr>
              <w:t>Local Population*</w:t>
            </w:r>
          </w:p>
        </w:tc>
        <w:tc>
          <w:tcPr>
            <w:tcW w:w="2477" w:type="dxa"/>
            <w:shd w:val="clear" w:color="auto" w:fill="auto"/>
          </w:tcPr>
          <w:p w:rsidR="00796564" w:rsidRPr="00273F7C" w:rsidRDefault="00796564" w:rsidP="00796D95">
            <w:pPr>
              <w:jc w:val="right"/>
              <w:rPr>
                <w:rFonts w:ascii="Arial" w:eastAsia="Times New Roman" w:hAnsi="Arial" w:cs="Arial"/>
              </w:rPr>
            </w:pPr>
            <w:r w:rsidRPr="00273F7C">
              <w:rPr>
                <w:rFonts w:ascii="Arial" w:eastAsia="Times New Roman" w:hAnsi="Arial" w:cs="Arial"/>
              </w:rPr>
              <w:t>Staff in post Jan ‘1</w:t>
            </w:r>
            <w:r w:rsidR="00796D95">
              <w:rPr>
                <w:rFonts w:ascii="Arial" w:eastAsia="Times New Roman" w:hAnsi="Arial" w:cs="Arial"/>
              </w:rPr>
              <w:t>5</w:t>
            </w:r>
          </w:p>
        </w:tc>
        <w:tc>
          <w:tcPr>
            <w:tcW w:w="2477" w:type="dxa"/>
            <w:shd w:val="clear" w:color="auto" w:fill="auto"/>
          </w:tcPr>
          <w:p w:rsidR="00796564" w:rsidRPr="00273F7C" w:rsidRDefault="00796564" w:rsidP="00796D95">
            <w:pPr>
              <w:jc w:val="right"/>
              <w:rPr>
                <w:rFonts w:ascii="Arial" w:eastAsia="Times New Roman" w:hAnsi="Arial" w:cs="Arial"/>
              </w:rPr>
            </w:pPr>
            <w:r w:rsidRPr="00273F7C">
              <w:rPr>
                <w:rFonts w:ascii="Arial" w:eastAsia="Times New Roman" w:hAnsi="Arial" w:cs="Arial"/>
              </w:rPr>
              <w:t xml:space="preserve">Staff in post </w:t>
            </w:r>
            <w:r w:rsidR="00796D95">
              <w:rPr>
                <w:rFonts w:ascii="Arial" w:eastAsia="Times New Roman" w:hAnsi="Arial" w:cs="Arial"/>
              </w:rPr>
              <w:t>Sep ‘15</w:t>
            </w:r>
          </w:p>
        </w:tc>
      </w:tr>
      <w:tr w:rsidR="00796564" w:rsidRPr="009C49EB" w:rsidTr="00796564">
        <w:tc>
          <w:tcPr>
            <w:tcW w:w="2368" w:type="dxa"/>
            <w:shd w:val="clear" w:color="auto" w:fill="auto"/>
          </w:tcPr>
          <w:p w:rsidR="00796564" w:rsidRPr="00273F7C" w:rsidRDefault="00796564" w:rsidP="00796564">
            <w:pPr>
              <w:jc w:val="both"/>
              <w:rPr>
                <w:rFonts w:ascii="Arial" w:eastAsia="Times New Roman" w:hAnsi="Arial" w:cs="Arial"/>
              </w:rPr>
            </w:pPr>
            <w:r w:rsidRPr="00273F7C">
              <w:rPr>
                <w:rFonts w:ascii="Arial" w:eastAsia="Times New Roman" w:hAnsi="Arial" w:cs="Arial"/>
              </w:rPr>
              <w:t>White</w:t>
            </w:r>
          </w:p>
        </w:tc>
        <w:tc>
          <w:tcPr>
            <w:tcW w:w="2476" w:type="dxa"/>
            <w:shd w:val="clear" w:color="auto" w:fill="auto"/>
          </w:tcPr>
          <w:p w:rsidR="00796564" w:rsidRPr="00273F7C" w:rsidRDefault="009921D0" w:rsidP="00796564">
            <w:pPr>
              <w:jc w:val="right"/>
              <w:rPr>
                <w:rFonts w:ascii="Arial" w:eastAsia="Times New Roman" w:hAnsi="Arial" w:cs="Arial"/>
                <w:highlight w:val="yellow"/>
              </w:rPr>
            </w:pPr>
            <w:r>
              <w:rPr>
                <w:rFonts w:ascii="Arial" w:eastAsia="Times New Roman" w:hAnsi="Arial" w:cs="Arial"/>
              </w:rPr>
              <w:t>48</w:t>
            </w:r>
            <w:r w:rsidR="00796564" w:rsidRPr="00273F7C">
              <w:rPr>
                <w:rFonts w:ascii="Arial" w:eastAsia="Times New Roman" w:hAnsi="Arial" w:cs="Arial"/>
              </w:rPr>
              <w:t>%</w:t>
            </w:r>
          </w:p>
        </w:tc>
        <w:tc>
          <w:tcPr>
            <w:tcW w:w="2477" w:type="dxa"/>
            <w:shd w:val="clear" w:color="auto" w:fill="auto"/>
          </w:tcPr>
          <w:p w:rsidR="00796564" w:rsidRPr="00273F7C" w:rsidRDefault="00796D95" w:rsidP="00796564">
            <w:pPr>
              <w:jc w:val="right"/>
              <w:rPr>
                <w:rFonts w:ascii="Arial" w:eastAsia="Times New Roman" w:hAnsi="Arial" w:cs="Arial"/>
              </w:rPr>
            </w:pPr>
            <w:r w:rsidRPr="00273F7C">
              <w:rPr>
                <w:rFonts w:ascii="Arial" w:eastAsia="Times New Roman" w:hAnsi="Arial" w:cs="Arial"/>
              </w:rPr>
              <w:t>69.5%</w:t>
            </w:r>
          </w:p>
        </w:tc>
        <w:tc>
          <w:tcPr>
            <w:tcW w:w="2477" w:type="dxa"/>
            <w:shd w:val="clear" w:color="auto" w:fill="auto"/>
          </w:tcPr>
          <w:p w:rsidR="00796564" w:rsidRPr="00273F7C" w:rsidRDefault="005B6F3D" w:rsidP="00796564">
            <w:pPr>
              <w:jc w:val="right"/>
              <w:rPr>
                <w:rFonts w:ascii="Arial" w:eastAsia="Times New Roman" w:hAnsi="Arial" w:cs="Arial"/>
              </w:rPr>
            </w:pPr>
            <w:r>
              <w:rPr>
                <w:rFonts w:ascii="Arial" w:eastAsia="Times New Roman" w:hAnsi="Arial" w:cs="Arial"/>
              </w:rPr>
              <w:t>68.7</w:t>
            </w:r>
            <w:r w:rsidR="009921D0">
              <w:rPr>
                <w:rFonts w:ascii="Arial" w:eastAsia="Times New Roman" w:hAnsi="Arial" w:cs="Arial"/>
              </w:rPr>
              <w:t>%</w:t>
            </w:r>
          </w:p>
        </w:tc>
      </w:tr>
      <w:tr w:rsidR="00796D95" w:rsidRPr="009C49EB" w:rsidTr="00796564">
        <w:trPr>
          <w:trHeight w:val="329"/>
        </w:trPr>
        <w:tc>
          <w:tcPr>
            <w:tcW w:w="2368" w:type="dxa"/>
            <w:shd w:val="clear" w:color="auto" w:fill="auto"/>
          </w:tcPr>
          <w:p w:rsidR="00796D95" w:rsidRPr="00273F7C" w:rsidRDefault="00796D95" w:rsidP="00796564">
            <w:pPr>
              <w:jc w:val="both"/>
              <w:rPr>
                <w:rFonts w:ascii="Arial" w:eastAsia="Times New Roman" w:hAnsi="Arial" w:cs="Arial"/>
              </w:rPr>
            </w:pPr>
            <w:r w:rsidRPr="00273F7C">
              <w:rPr>
                <w:rFonts w:ascii="Arial" w:eastAsia="Times New Roman" w:hAnsi="Arial" w:cs="Arial"/>
              </w:rPr>
              <w:t>BME</w:t>
            </w:r>
          </w:p>
        </w:tc>
        <w:tc>
          <w:tcPr>
            <w:tcW w:w="2476" w:type="dxa"/>
            <w:shd w:val="clear" w:color="auto" w:fill="auto"/>
          </w:tcPr>
          <w:p w:rsidR="00796D95" w:rsidRPr="00273F7C" w:rsidRDefault="009921D0" w:rsidP="00796564">
            <w:pPr>
              <w:jc w:val="right"/>
              <w:rPr>
                <w:rFonts w:ascii="Arial" w:eastAsia="Times New Roman" w:hAnsi="Arial" w:cs="Arial"/>
                <w:highlight w:val="yellow"/>
              </w:rPr>
            </w:pPr>
            <w:r>
              <w:rPr>
                <w:rFonts w:ascii="Arial" w:eastAsia="Times New Roman" w:hAnsi="Arial" w:cs="Arial"/>
              </w:rPr>
              <w:t>52</w:t>
            </w:r>
            <w:r w:rsidR="00796D95" w:rsidRPr="00273F7C">
              <w:rPr>
                <w:rFonts w:ascii="Arial" w:eastAsia="Times New Roman" w:hAnsi="Arial" w:cs="Arial"/>
              </w:rPr>
              <w:t>%</w:t>
            </w:r>
          </w:p>
        </w:tc>
        <w:tc>
          <w:tcPr>
            <w:tcW w:w="2477" w:type="dxa"/>
            <w:shd w:val="clear" w:color="auto" w:fill="auto"/>
          </w:tcPr>
          <w:p w:rsidR="00796D95" w:rsidRPr="00273F7C" w:rsidRDefault="00796D95" w:rsidP="00E106ED">
            <w:pPr>
              <w:jc w:val="right"/>
              <w:rPr>
                <w:rFonts w:ascii="Arial" w:eastAsia="Times New Roman" w:hAnsi="Arial" w:cs="Arial"/>
              </w:rPr>
            </w:pPr>
            <w:r w:rsidRPr="00273F7C">
              <w:rPr>
                <w:rFonts w:ascii="Arial" w:eastAsia="Times New Roman" w:hAnsi="Arial" w:cs="Arial"/>
              </w:rPr>
              <w:t>30.5%</w:t>
            </w:r>
          </w:p>
        </w:tc>
        <w:tc>
          <w:tcPr>
            <w:tcW w:w="2477" w:type="dxa"/>
            <w:shd w:val="clear" w:color="auto" w:fill="auto"/>
          </w:tcPr>
          <w:p w:rsidR="00796D95" w:rsidRPr="00273F7C" w:rsidRDefault="005B6F3D" w:rsidP="00796564">
            <w:pPr>
              <w:jc w:val="right"/>
              <w:rPr>
                <w:rFonts w:ascii="Arial" w:eastAsia="Times New Roman" w:hAnsi="Arial" w:cs="Arial"/>
              </w:rPr>
            </w:pPr>
            <w:r>
              <w:rPr>
                <w:rFonts w:ascii="Arial" w:eastAsia="Times New Roman" w:hAnsi="Arial" w:cs="Arial"/>
              </w:rPr>
              <w:t>31.3</w:t>
            </w:r>
            <w:r w:rsidR="009921D0">
              <w:rPr>
                <w:rFonts w:ascii="Arial" w:eastAsia="Times New Roman" w:hAnsi="Arial" w:cs="Arial"/>
              </w:rPr>
              <w:t>%</w:t>
            </w:r>
          </w:p>
        </w:tc>
      </w:tr>
    </w:tbl>
    <w:p w:rsidR="00796564" w:rsidRDefault="00796564" w:rsidP="00712AE7">
      <w:pPr>
        <w:jc w:val="both"/>
        <w:rPr>
          <w:rFonts w:cs="Arial"/>
          <w:sz w:val="20"/>
        </w:rPr>
      </w:pPr>
    </w:p>
    <w:p w:rsidR="005B6F3D" w:rsidRDefault="005B6F3D" w:rsidP="00712AE7">
      <w:pPr>
        <w:jc w:val="both"/>
        <w:rPr>
          <w:rFonts w:cs="Arial"/>
          <w:sz w:val="20"/>
        </w:rPr>
      </w:pPr>
    </w:p>
    <w:p w:rsidR="005B6F3D" w:rsidRDefault="005B6F3D" w:rsidP="00712AE7">
      <w:pPr>
        <w:jc w:val="both"/>
        <w:rPr>
          <w:rFonts w:cs="Arial"/>
          <w:sz w:val="20"/>
        </w:rPr>
      </w:pPr>
    </w:p>
    <w:p w:rsidR="005B6F3D" w:rsidRDefault="005B6F3D" w:rsidP="00712AE7">
      <w:pPr>
        <w:jc w:val="both"/>
        <w:rPr>
          <w:rFonts w:cs="Arial"/>
          <w:sz w:val="20"/>
        </w:rPr>
      </w:pPr>
    </w:p>
    <w:tbl>
      <w:tblPr>
        <w:tblW w:w="97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2476"/>
        <w:gridCol w:w="2477"/>
        <w:gridCol w:w="2477"/>
      </w:tblGrid>
      <w:tr w:rsidR="00796564" w:rsidRPr="009C49EB" w:rsidTr="00796564">
        <w:tc>
          <w:tcPr>
            <w:tcW w:w="9798" w:type="dxa"/>
            <w:gridSpan w:val="4"/>
            <w:shd w:val="clear" w:color="auto" w:fill="auto"/>
          </w:tcPr>
          <w:p w:rsidR="00796564" w:rsidRPr="00273F7C" w:rsidRDefault="00796564" w:rsidP="009A6A34">
            <w:pPr>
              <w:jc w:val="both"/>
              <w:rPr>
                <w:rFonts w:ascii="Arial" w:eastAsia="Times New Roman" w:hAnsi="Arial" w:cs="Arial"/>
                <w:b/>
              </w:rPr>
            </w:pPr>
            <w:r w:rsidRPr="00273F7C">
              <w:rPr>
                <w:rFonts w:ascii="Arial" w:eastAsia="Times New Roman" w:hAnsi="Arial" w:cs="Arial"/>
                <w:b/>
              </w:rPr>
              <w:lastRenderedPageBreak/>
              <w:t xml:space="preserve">Table </w:t>
            </w:r>
            <w:r w:rsidR="009A6A34" w:rsidRPr="00273F7C">
              <w:rPr>
                <w:rFonts w:ascii="Arial" w:eastAsia="Times New Roman" w:hAnsi="Arial" w:cs="Arial"/>
                <w:b/>
              </w:rPr>
              <w:t>3</w:t>
            </w:r>
            <w:r w:rsidRPr="00273F7C">
              <w:rPr>
                <w:rFonts w:ascii="Arial" w:eastAsia="Times New Roman" w:hAnsi="Arial" w:cs="Arial"/>
                <w:b/>
              </w:rPr>
              <w:t xml:space="preserve"> - Ethnicity Profile of Solihull Hospital against the local population</w:t>
            </w:r>
          </w:p>
        </w:tc>
      </w:tr>
      <w:tr w:rsidR="00796564" w:rsidRPr="009C49EB" w:rsidTr="00796564">
        <w:tc>
          <w:tcPr>
            <w:tcW w:w="2368" w:type="dxa"/>
            <w:shd w:val="clear" w:color="auto" w:fill="auto"/>
          </w:tcPr>
          <w:p w:rsidR="00796564" w:rsidRPr="00273F7C" w:rsidRDefault="00796564" w:rsidP="00796564">
            <w:pPr>
              <w:jc w:val="both"/>
              <w:rPr>
                <w:rFonts w:ascii="Arial" w:eastAsia="Times New Roman" w:hAnsi="Arial" w:cs="Arial"/>
              </w:rPr>
            </w:pPr>
          </w:p>
        </w:tc>
        <w:tc>
          <w:tcPr>
            <w:tcW w:w="2476" w:type="dxa"/>
            <w:shd w:val="clear" w:color="auto" w:fill="auto"/>
          </w:tcPr>
          <w:p w:rsidR="00796564" w:rsidRPr="00273F7C" w:rsidRDefault="00796564" w:rsidP="00796564">
            <w:pPr>
              <w:jc w:val="right"/>
              <w:rPr>
                <w:rFonts w:ascii="Arial" w:eastAsia="Times New Roman" w:hAnsi="Arial" w:cs="Arial"/>
              </w:rPr>
            </w:pPr>
            <w:r w:rsidRPr="00273F7C">
              <w:rPr>
                <w:rFonts w:ascii="Arial" w:eastAsia="Times New Roman" w:hAnsi="Arial" w:cs="Arial"/>
              </w:rPr>
              <w:t>Local Population*</w:t>
            </w:r>
          </w:p>
        </w:tc>
        <w:tc>
          <w:tcPr>
            <w:tcW w:w="2477" w:type="dxa"/>
            <w:shd w:val="clear" w:color="auto" w:fill="auto"/>
          </w:tcPr>
          <w:p w:rsidR="00796564" w:rsidRPr="00273F7C" w:rsidRDefault="00796564" w:rsidP="00796D95">
            <w:pPr>
              <w:jc w:val="right"/>
              <w:rPr>
                <w:rFonts w:ascii="Arial" w:eastAsia="Times New Roman" w:hAnsi="Arial" w:cs="Arial"/>
              </w:rPr>
            </w:pPr>
            <w:r w:rsidRPr="00273F7C">
              <w:rPr>
                <w:rFonts w:ascii="Arial" w:eastAsia="Times New Roman" w:hAnsi="Arial" w:cs="Arial"/>
              </w:rPr>
              <w:t>Staff in post Jan ‘1</w:t>
            </w:r>
            <w:r w:rsidR="00796D95">
              <w:rPr>
                <w:rFonts w:ascii="Arial" w:eastAsia="Times New Roman" w:hAnsi="Arial" w:cs="Arial"/>
              </w:rPr>
              <w:t>5</w:t>
            </w:r>
          </w:p>
        </w:tc>
        <w:tc>
          <w:tcPr>
            <w:tcW w:w="2477" w:type="dxa"/>
            <w:shd w:val="clear" w:color="auto" w:fill="auto"/>
          </w:tcPr>
          <w:p w:rsidR="00796564" w:rsidRPr="00273F7C" w:rsidRDefault="00796564" w:rsidP="00796D95">
            <w:pPr>
              <w:jc w:val="right"/>
              <w:rPr>
                <w:rFonts w:ascii="Arial" w:eastAsia="Times New Roman" w:hAnsi="Arial" w:cs="Arial"/>
              </w:rPr>
            </w:pPr>
            <w:r w:rsidRPr="00273F7C">
              <w:rPr>
                <w:rFonts w:ascii="Arial" w:eastAsia="Times New Roman" w:hAnsi="Arial" w:cs="Arial"/>
              </w:rPr>
              <w:t xml:space="preserve">Staff in post </w:t>
            </w:r>
            <w:r w:rsidR="00796D95">
              <w:rPr>
                <w:rFonts w:ascii="Arial" w:eastAsia="Times New Roman" w:hAnsi="Arial" w:cs="Arial"/>
              </w:rPr>
              <w:t>Sep</w:t>
            </w:r>
            <w:r w:rsidRPr="00273F7C">
              <w:rPr>
                <w:rFonts w:ascii="Arial" w:eastAsia="Times New Roman" w:hAnsi="Arial" w:cs="Arial"/>
              </w:rPr>
              <w:t xml:space="preserve"> ‘15</w:t>
            </w:r>
          </w:p>
        </w:tc>
      </w:tr>
      <w:tr w:rsidR="00796564" w:rsidRPr="009C49EB" w:rsidTr="00796564">
        <w:tc>
          <w:tcPr>
            <w:tcW w:w="2368" w:type="dxa"/>
            <w:shd w:val="clear" w:color="auto" w:fill="auto"/>
          </w:tcPr>
          <w:p w:rsidR="00796564" w:rsidRPr="00273F7C" w:rsidRDefault="00796564" w:rsidP="00796564">
            <w:pPr>
              <w:jc w:val="both"/>
              <w:rPr>
                <w:rFonts w:ascii="Arial" w:eastAsia="Times New Roman" w:hAnsi="Arial" w:cs="Arial"/>
              </w:rPr>
            </w:pPr>
            <w:r w:rsidRPr="00273F7C">
              <w:rPr>
                <w:rFonts w:ascii="Arial" w:eastAsia="Times New Roman" w:hAnsi="Arial" w:cs="Arial"/>
              </w:rPr>
              <w:t>White</w:t>
            </w:r>
          </w:p>
        </w:tc>
        <w:tc>
          <w:tcPr>
            <w:tcW w:w="2476" w:type="dxa"/>
            <w:shd w:val="clear" w:color="auto" w:fill="auto"/>
          </w:tcPr>
          <w:p w:rsidR="00796564" w:rsidRPr="00273F7C" w:rsidRDefault="00796564" w:rsidP="00796564">
            <w:pPr>
              <w:jc w:val="right"/>
              <w:rPr>
                <w:rFonts w:ascii="Arial" w:eastAsia="Times New Roman" w:hAnsi="Arial" w:cs="Arial"/>
              </w:rPr>
            </w:pPr>
            <w:r w:rsidRPr="00273F7C">
              <w:rPr>
                <w:rFonts w:ascii="Arial" w:eastAsia="Times New Roman" w:hAnsi="Arial" w:cs="Arial"/>
              </w:rPr>
              <w:t>89%</w:t>
            </w:r>
          </w:p>
        </w:tc>
        <w:tc>
          <w:tcPr>
            <w:tcW w:w="2477" w:type="dxa"/>
            <w:shd w:val="clear" w:color="auto" w:fill="auto"/>
          </w:tcPr>
          <w:p w:rsidR="00796564" w:rsidRPr="00273F7C" w:rsidRDefault="00796D95" w:rsidP="00796564">
            <w:pPr>
              <w:jc w:val="right"/>
              <w:rPr>
                <w:rFonts w:ascii="Arial" w:eastAsia="Times New Roman" w:hAnsi="Arial" w:cs="Arial"/>
              </w:rPr>
            </w:pPr>
            <w:r>
              <w:rPr>
                <w:rFonts w:ascii="Arial" w:eastAsia="Times New Roman" w:hAnsi="Arial" w:cs="Arial"/>
              </w:rPr>
              <w:t>80.2</w:t>
            </w:r>
            <w:r w:rsidR="00796564" w:rsidRPr="00273F7C">
              <w:rPr>
                <w:rFonts w:ascii="Arial" w:eastAsia="Times New Roman" w:hAnsi="Arial" w:cs="Arial"/>
              </w:rPr>
              <w:t>%</w:t>
            </w:r>
          </w:p>
        </w:tc>
        <w:tc>
          <w:tcPr>
            <w:tcW w:w="2477" w:type="dxa"/>
            <w:shd w:val="clear" w:color="auto" w:fill="auto"/>
          </w:tcPr>
          <w:p w:rsidR="00796564" w:rsidRPr="00273F7C" w:rsidRDefault="005B6F3D" w:rsidP="00796564">
            <w:pPr>
              <w:jc w:val="right"/>
              <w:rPr>
                <w:rFonts w:ascii="Arial" w:eastAsia="Times New Roman" w:hAnsi="Arial" w:cs="Arial"/>
              </w:rPr>
            </w:pPr>
            <w:r>
              <w:rPr>
                <w:rFonts w:ascii="Arial" w:eastAsia="Times New Roman" w:hAnsi="Arial" w:cs="Arial"/>
              </w:rPr>
              <w:t>79.6</w:t>
            </w:r>
            <w:r w:rsidR="009921D0">
              <w:rPr>
                <w:rFonts w:ascii="Arial" w:eastAsia="Times New Roman" w:hAnsi="Arial" w:cs="Arial"/>
              </w:rPr>
              <w:t>%</w:t>
            </w:r>
          </w:p>
        </w:tc>
      </w:tr>
      <w:tr w:rsidR="00796564" w:rsidRPr="009C49EB" w:rsidTr="00796564">
        <w:trPr>
          <w:trHeight w:val="329"/>
        </w:trPr>
        <w:tc>
          <w:tcPr>
            <w:tcW w:w="2368" w:type="dxa"/>
            <w:shd w:val="clear" w:color="auto" w:fill="auto"/>
          </w:tcPr>
          <w:p w:rsidR="00796564" w:rsidRPr="00273F7C" w:rsidRDefault="00796564" w:rsidP="00796564">
            <w:pPr>
              <w:jc w:val="both"/>
              <w:rPr>
                <w:rFonts w:ascii="Arial" w:eastAsia="Times New Roman" w:hAnsi="Arial" w:cs="Arial"/>
              </w:rPr>
            </w:pPr>
            <w:r w:rsidRPr="00273F7C">
              <w:rPr>
                <w:rFonts w:ascii="Arial" w:eastAsia="Times New Roman" w:hAnsi="Arial" w:cs="Arial"/>
              </w:rPr>
              <w:t>BME</w:t>
            </w:r>
          </w:p>
        </w:tc>
        <w:tc>
          <w:tcPr>
            <w:tcW w:w="2476" w:type="dxa"/>
            <w:shd w:val="clear" w:color="auto" w:fill="auto"/>
          </w:tcPr>
          <w:p w:rsidR="00796564" w:rsidRPr="00273F7C" w:rsidRDefault="00796564" w:rsidP="00796564">
            <w:pPr>
              <w:jc w:val="right"/>
              <w:rPr>
                <w:rFonts w:ascii="Arial" w:eastAsia="Times New Roman" w:hAnsi="Arial" w:cs="Arial"/>
              </w:rPr>
            </w:pPr>
            <w:r w:rsidRPr="00273F7C">
              <w:rPr>
                <w:rFonts w:ascii="Arial" w:eastAsia="Times New Roman" w:hAnsi="Arial" w:cs="Arial"/>
              </w:rPr>
              <w:t>11%</w:t>
            </w:r>
          </w:p>
        </w:tc>
        <w:tc>
          <w:tcPr>
            <w:tcW w:w="2477" w:type="dxa"/>
            <w:shd w:val="clear" w:color="auto" w:fill="auto"/>
          </w:tcPr>
          <w:p w:rsidR="00796564" w:rsidRPr="00273F7C" w:rsidRDefault="00796D95" w:rsidP="00796564">
            <w:pPr>
              <w:jc w:val="right"/>
              <w:rPr>
                <w:rFonts w:ascii="Arial" w:eastAsia="Times New Roman" w:hAnsi="Arial" w:cs="Arial"/>
              </w:rPr>
            </w:pPr>
            <w:r>
              <w:rPr>
                <w:rFonts w:ascii="Arial" w:eastAsia="Times New Roman" w:hAnsi="Arial" w:cs="Arial"/>
              </w:rPr>
              <w:t>19.8</w:t>
            </w:r>
            <w:r w:rsidR="00796564" w:rsidRPr="00273F7C">
              <w:rPr>
                <w:rFonts w:ascii="Arial" w:eastAsia="Times New Roman" w:hAnsi="Arial" w:cs="Arial"/>
              </w:rPr>
              <w:t>%</w:t>
            </w:r>
          </w:p>
        </w:tc>
        <w:tc>
          <w:tcPr>
            <w:tcW w:w="2477" w:type="dxa"/>
            <w:shd w:val="clear" w:color="auto" w:fill="auto"/>
          </w:tcPr>
          <w:p w:rsidR="00796564" w:rsidRPr="00273F7C" w:rsidRDefault="005B6F3D" w:rsidP="00796564">
            <w:pPr>
              <w:jc w:val="right"/>
              <w:rPr>
                <w:rFonts w:ascii="Arial" w:eastAsia="Times New Roman" w:hAnsi="Arial" w:cs="Arial"/>
              </w:rPr>
            </w:pPr>
            <w:r>
              <w:rPr>
                <w:rFonts w:ascii="Arial" w:eastAsia="Times New Roman" w:hAnsi="Arial" w:cs="Arial"/>
              </w:rPr>
              <w:t>20.4</w:t>
            </w:r>
            <w:r w:rsidR="009921D0">
              <w:rPr>
                <w:rFonts w:ascii="Arial" w:eastAsia="Times New Roman" w:hAnsi="Arial" w:cs="Arial"/>
              </w:rPr>
              <w:t>%</w:t>
            </w:r>
          </w:p>
        </w:tc>
      </w:tr>
    </w:tbl>
    <w:p w:rsidR="00796564" w:rsidRDefault="00796564" w:rsidP="00712AE7">
      <w:pPr>
        <w:jc w:val="both"/>
        <w:rPr>
          <w:rFonts w:cs="Arial"/>
        </w:rPr>
      </w:pPr>
    </w:p>
    <w:tbl>
      <w:tblPr>
        <w:tblW w:w="97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2476"/>
        <w:gridCol w:w="2477"/>
        <w:gridCol w:w="2477"/>
      </w:tblGrid>
      <w:tr w:rsidR="00796564" w:rsidRPr="009C49EB" w:rsidTr="00796564">
        <w:tc>
          <w:tcPr>
            <w:tcW w:w="9798" w:type="dxa"/>
            <w:gridSpan w:val="4"/>
            <w:shd w:val="clear" w:color="auto" w:fill="auto"/>
          </w:tcPr>
          <w:p w:rsidR="00796564" w:rsidRPr="00273F7C" w:rsidRDefault="00796564" w:rsidP="009A6A34">
            <w:pPr>
              <w:jc w:val="both"/>
              <w:rPr>
                <w:rFonts w:ascii="Arial" w:eastAsia="Times New Roman" w:hAnsi="Arial" w:cs="Arial"/>
                <w:b/>
              </w:rPr>
            </w:pPr>
            <w:r w:rsidRPr="00273F7C">
              <w:rPr>
                <w:rFonts w:ascii="Arial" w:eastAsia="Times New Roman" w:hAnsi="Arial" w:cs="Arial"/>
                <w:b/>
              </w:rPr>
              <w:t xml:space="preserve">Table </w:t>
            </w:r>
            <w:r w:rsidR="009A6A34" w:rsidRPr="00273F7C">
              <w:rPr>
                <w:rFonts w:ascii="Arial" w:eastAsia="Times New Roman" w:hAnsi="Arial" w:cs="Arial"/>
                <w:b/>
              </w:rPr>
              <w:t>4</w:t>
            </w:r>
            <w:r w:rsidRPr="00273F7C">
              <w:rPr>
                <w:rFonts w:ascii="Arial" w:eastAsia="Times New Roman" w:hAnsi="Arial" w:cs="Arial"/>
                <w:b/>
              </w:rPr>
              <w:t xml:space="preserve"> - Ethnicity Profile of Good Hope Hospital against the local population</w:t>
            </w:r>
          </w:p>
        </w:tc>
      </w:tr>
      <w:tr w:rsidR="00796564" w:rsidRPr="009C49EB" w:rsidTr="00796564">
        <w:tc>
          <w:tcPr>
            <w:tcW w:w="2368" w:type="dxa"/>
            <w:shd w:val="clear" w:color="auto" w:fill="auto"/>
          </w:tcPr>
          <w:p w:rsidR="00796564" w:rsidRPr="00273F7C" w:rsidRDefault="00796564" w:rsidP="00796564">
            <w:pPr>
              <w:jc w:val="both"/>
              <w:rPr>
                <w:rFonts w:ascii="Arial" w:eastAsia="Times New Roman" w:hAnsi="Arial" w:cs="Arial"/>
              </w:rPr>
            </w:pPr>
          </w:p>
        </w:tc>
        <w:tc>
          <w:tcPr>
            <w:tcW w:w="2476" w:type="dxa"/>
            <w:shd w:val="clear" w:color="auto" w:fill="auto"/>
          </w:tcPr>
          <w:p w:rsidR="00796564" w:rsidRPr="00273F7C" w:rsidRDefault="00796564" w:rsidP="00796564">
            <w:pPr>
              <w:jc w:val="right"/>
              <w:rPr>
                <w:rFonts w:ascii="Arial" w:eastAsia="Times New Roman" w:hAnsi="Arial" w:cs="Arial"/>
              </w:rPr>
            </w:pPr>
            <w:r w:rsidRPr="00273F7C">
              <w:rPr>
                <w:rFonts w:ascii="Arial" w:eastAsia="Times New Roman" w:hAnsi="Arial" w:cs="Arial"/>
              </w:rPr>
              <w:t>Local Population*</w:t>
            </w:r>
          </w:p>
        </w:tc>
        <w:tc>
          <w:tcPr>
            <w:tcW w:w="2477" w:type="dxa"/>
            <w:shd w:val="clear" w:color="auto" w:fill="auto"/>
          </w:tcPr>
          <w:p w:rsidR="00796564" w:rsidRPr="00273F7C" w:rsidRDefault="00796564" w:rsidP="00F45542">
            <w:pPr>
              <w:jc w:val="right"/>
              <w:rPr>
                <w:rFonts w:ascii="Arial" w:eastAsia="Times New Roman" w:hAnsi="Arial" w:cs="Arial"/>
              </w:rPr>
            </w:pPr>
            <w:r w:rsidRPr="00273F7C">
              <w:rPr>
                <w:rFonts w:ascii="Arial" w:eastAsia="Times New Roman" w:hAnsi="Arial" w:cs="Arial"/>
              </w:rPr>
              <w:t>Staff in post Jan ‘1</w:t>
            </w:r>
            <w:r w:rsidR="00F45542">
              <w:rPr>
                <w:rFonts w:ascii="Arial" w:eastAsia="Times New Roman" w:hAnsi="Arial" w:cs="Arial"/>
              </w:rPr>
              <w:t>5</w:t>
            </w:r>
          </w:p>
        </w:tc>
        <w:tc>
          <w:tcPr>
            <w:tcW w:w="2477" w:type="dxa"/>
            <w:shd w:val="clear" w:color="auto" w:fill="auto"/>
          </w:tcPr>
          <w:p w:rsidR="00796564" w:rsidRPr="00273F7C" w:rsidRDefault="00796564" w:rsidP="00F45542">
            <w:pPr>
              <w:jc w:val="right"/>
              <w:rPr>
                <w:rFonts w:ascii="Arial" w:eastAsia="Times New Roman" w:hAnsi="Arial" w:cs="Arial"/>
              </w:rPr>
            </w:pPr>
            <w:r w:rsidRPr="00273F7C">
              <w:rPr>
                <w:rFonts w:ascii="Arial" w:eastAsia="Times New Roman" w:hAnsi="Arial" w:cs="Arial"/>
              </w:rPr>
              <w:t xml:space="preserve">Staff in post </w:t>
            </w:r>
            <w:r w:rsidR="00F45542">
              <w:rPr>
                <w:rFonts w:ascii="Arial" w:eastAsia="Times New Roman" w:hAnsi="Arial" w:cs="Arial"/>
              </w:rPr>
              <w:t>Sep</w:t>
            </w:r>
            <w:r w:rsidRPr="00273F7C">
              <w:rPr>
                <w:rFonts w:ascii="Arial" w:eastAsia="Times New Roman" w:hAnsi="Arial" w:cs="Arial"/>
              </w:rPr>
              <w:t xml:space="preserve"> ‘15</w:t>
            </w:r>
          </w:p>
        </w:tc>
      </w:tr>
      <w:tr w:rsidR="00796564" w:rsidRPr="009C49EB" w:rsidTr="00796564">
        <w:tc>
          <w:tcPr>
            <w:tcW w:w="2368" w:type="dxa"/>
            <w:shd w:val="clear" w:color="auto" w:fill="auto"/>
          </w:tcPr>
          <w:p w:rsidR="00796564" w:rsidRPr="00273F7C" w:rsidRDefault="00796564" w:rsidP="00796564">
            <w:pPr>
              <w:jc w:val="both"/>
              <w:rPr>
                <w:rFonts w:ascii="Arial" w:eastAsia="Times New Roman" w:hAnsi="Arial" w:cs="Arial"/>
              </w:rPr>
            </w:pPr>
            <w:r w:rsidRPr="00273F7C">
              <w:rPr>
                <w:rFonts w:ascii="Arial" w:eastAsia="Times New Roman" w:hAnsi="Arial" w:cs="Arial"/>
              </w:rPr>
              <w:t>White</w:t>
            </w:r>
          </w:p>
        </w:tc>
        <w:tc>
          <w:tcPr>
            <w:tcW w:w="2476" w:type="dxa"/>
            <w:shd w:val="clear" w:color="auto" w:fill="auto"/>
          </w:tcPr>
          <w:p w:rsidR="00796564" w:rsidRPr="00273F7C" w:rsidRDefault="009A6A34" w:rsidP="00796564">
            <w:pPr>
              <w:jc w:val="right"/>
              <w:rPr>
                <w:rFonts w:ascii="Arial" w:eastAsia="Times New Roman" w:hAnsi="Arial" w:cs="Arial"/>
              </w:rPr>
            </w:pPr>
            <w:r w:rsidRPr="00273F7C">
              <w:rPr>
                <w:rFonts w:ascii="Arial" w:eastAsia="Times New Roman" w:hAnsi="Arial" w:cs="Arial"/>
              </w:rPr>
              <w:t>82</w:t>
            </w:r>
            <w:r w:rsidR="00796564" w:rsidRPr="00273F7C">
              <w:rPr>
                <w:rFonts w:ascii="Arial" w:eastAsia="Times New Roman" w:hAnsi="Arial" w:cs="Arial"/>
              </w:rPr>
              <w:t>%</w:t>
            </w:r>
          </w:p>
        </w:tc>
        <w:tc>
          <w:tcPr>
            <w:tcW w:w="2477" w:type="dxa"/>
            <w:shd w:val="clear" w:color="auto" w:fill="auto"/>
          </w:tcPr>
          <w:p w:rsidR="00796564" w:rsidRPr="00273F7C" w:rsidRDefault="00F45542" w:rsidP="00796564">
            <w:pPr>
              <w:jc w:val="right"/>
              <w:rPr>
                <w:rFonts w:ascii="Arial" w:eastAsia="Times New Roman" w:hAnsi="Arial" w:cs="Arial"/>
              </w:rPr>
            </w:pPr>
            <w:r>
              <w:rPr>
                <w:rFonts w:ascii="Arial" w:eastAsia="Times New Roman" w:hAnsi="Arial" w:cs="Arial"/>
              </w:rPr>
              <w:t>79.7</w:t>
            </w:r>
            <w:r w:rsidR="00796564" w:rsidRPr="00273F7C">
              <w:rPr>
                <w:rFonts w:ascii="Arial" w:eastAsia="Times New Roman" w:hAnsi="Arial" w:cs="Arial"/>
              </w:rPr>
              <w:t>%</w:t>
            </w:r>
          </w:p>
        </w:tc>
        <w:tc>
          <w:tcPr>
            <w:tcW w:w="2477" w:type="dxa"/>
            <w:shd w:val="clear" w:color="auto" w:fill="auto"/>
          </w:tcPr>
          <w:p w:rsidR="009921D0" w:rsidRPr="00273F7C" w:rsidRDefault="005B6F3D" w:rsidP="00796564">
            <w:pPr>
              <w:jc w:val="right"/>
              <w:rPr>
                <w:rFonts w:ascii="Arial" w:eastAsia="Times New Roman" w:hAnsi="Arial" w:cs="Arial"/>
              </w:rPr>
            </w:pPr>
            <w:r>
              <w:rPr>
                <w:rFonts w:ascii="Arial" w:eastAsia="Times New Roman" w:hAnsi="Arial" w:cs="Arial"/>
              </w:rPr>
              <w:t>78.2</w:t>
            </w:r>
            <w:r w:rsidR="009921D0">
              <w:rPr>
                <w:rFonts w:ascii="Arial" w:eastAsia="Times New Roman" w:hAnsi="Arial" w:cs="Arial"/>
              </w:rPr>
              <w:t>%</w:t>
            </w:r>
          </w:p>
        </w:tc>
      </w:tr>
      <w:tr w:rsidR="00796564" w:rsidRPr="009C49EB" w:rsidTr="00796564">
        <w:trPr>
          <w:trHeight w:val="329"/>
        </w:trPr>
        <w:tc>
          <w:tcPr>
            <w:tcW w:w="2368" w:type="dxa"/>
            <w:shd w:val="clear" w:color="auto" w:fill="auto"/>
          </w:tcPr>
          <w:p w:rsidR="00796564" w:rsidRPr="00273F7C" w:rsidRDefault="00796564" w:rsidP="00796564">
            <w:pPr>
              <w:jc w:val="both"/>
              <w:rPr>
                <w:rFonts w:ascii="Arial" w:eastAsia="Times New Roman" w:hAnsi="Arial" w:cs="Arial"/>
              </w:rPr>
            </w:pPr>
            <w:r w:rsidRPr="00273F7C">
              <w:rPr>
                <w:rFonts w:ascii="Arial" w:eastAsia="Times New Roman" w:hAnsi="Arial" w:cs="Arial"/>
              </w:rPr>
              <w:t>BME</w:t>
            </w:r>
          </w:p>
        </w:tc>
        <w:tc>
          <w:tcPr>
            <w:tcW w:w="2476" w:type="dxa"/>
            <w:shd w:val="clear" w:color="auto" w:fill="auto"/>
          </w:tcPr>
          <w:p w:rsidR="00796564" w:rsidRPr="00273F7C" w:rsidRDefault="009A6A34" w:rsidP="00796564">
            <w:pPr>
              <w:jc w:val="right"/>
              <w:rPr>
                <w:rFonts w:ascii="Arial" w:eastAsia="Times New Roman" w:hAnsi="Arial" w:cs="Arial"/>
              </w:rPr>
            </w:pPr>
            <w:r w:rsidRPr="00273F7C">
              <w:rPr>
                <w:rFonts w:ascii="Arial" w:eastAsia="Times New Roman" w:hAnsi="Arial" w:cs="Arial"/>
              </w:rPr>
              <w:t>18</w:t>
            </w:r>
            <w:r w:rsidR="00796564" w:rsidRPr="00273F7C">
              <w:rPr>
                <w:rFonts w:ascii="Arial" w:eastAsia="Times New Roman" w:hAnsi="Arial" w:cs="Arial"/>
              </w:rPr>
              <w:t>%</w:t>
            </w:r>
          </w:p>
        </w:tc>
        <w:tc>
          <w:tcPr>
            <w:tcW w:w="2477" w:type="dxa"/>
            <w:shd w:val="clear" w:color="auto" w:fill="auto"/>
          </w:tcPr>
          <w:p w:rsidR="00796564" w:rsidRPr="00273F7C" w:rsidRDefault="009A6A34" w:rsidP="00796564">
            <w:pPr>
              <w:jc w:val="right"/>
              <w:rPr>
                <w:rFonts w:ascii="Arial" w:eastAsia="Times New Roman" w:hAnsi="Arial" w:cs="Arial"/>
              </w:rPr>
            </w:pPr>
            <w:r w:rsidRPr="00273F7C">
              <w:rPr>
                <w:rFonts w:ascii="Arial" w:eastAsia="Times New Roman" w:hAnsi="Arial" w:cs="Arial"/>
              </w:rPr>
              <w:t>20</w:t>
            </w:r>
            <w:r w:rsidR="00F45542">
              <w:rPr>
                <w:rFonts w:ascii="Arial" w:eastAsia="Times New Roman" w:hAnsi="Arial" w:cs="Arial"/>
              </w:rPr>
              <w:t>.3</w:t>
            </w:r>
            <w:r w:rsidR="00796564" w:rsidRPr="00273F7C">
              <w:rPr>
                <w:rFonts w:ascii="Arial" w:eastAsia="Times New Roman" w:hAnsi="Arial" w:cs="Arial"/>
              </w:rPr>
              <w:t>%</w:t>
            </w:r>
          </w:p>
        </w:tc>
        <w:tc>
          <w:tcPr>
            <w:tcW w:w="2477" w:type="dxa"/>
            <w:shd w:val="clear" w:color="auto" w:fill="auto"/>
          </w:tcPr>
          <w:p w:rsidR="00796564" w:rsidRPr="00273F7C" w:rsidRDefault="005B6F3D" w:rsidP="00796564">
            <w:pPr>
              <w:jc w:val="right"/>
              <w:rPr>
                <w:rFonts w:ascii="Arial" w:eastAsia="Times New Roman" w:hAnsi="Arial" w:cs="Arial"/>
              </w:rPr>
            </w:pPr>
            <w:r>
              <w:rPr>
                <w:rFonts w:ascii="Arial" w:eastAsia="Times New Roman" w:hAnsi="Arial" w:cs="Arial"/>
              </w:rPr>
              <w:t>21.8</w:t>
            </w:r>
            <w:r w:rsidR="009921D0">
              <w:rPr>
                <w:rFonts w:ascii="Arial" w:eastAsia="Times New Roman" w:hAnsi="Arial" w:cs="Arial"/>
              </w:rPr>
              <w:t>%</w:t>
            </w:r>
          </w:p>
        </w:tc>
      </w:tr>
    </w:tbl>
    <w:p w:rsidR="007208F0" w:rsidRDefault="00712AE7" w:rsidP="00AD71A2">
      <w:pPr>
        <w:jc w:val="both"/>
        <w:rPr>
          <w:rFonts w:ascii="Arial" w:hAnsi="Arial" w:cs="Arial"/>
        </w:rPr>
      </w:pPr>
      <w:r w:rsidRPr="00CD4AA4">
        <w:t>*</w:t>
      </w:r>
      <w:r w:rsidRPr="00CD4AA4">
        <w:rPr>
          <w:rFonts w:ascii="Arial" w:hAnsi="Arial" w:cs="Arial"/>
        </w:rPr>
        <w:t>Source 2011 Census.</w:t>
      </w:r>
    </w:p>
    <w:p w:rsidR="009921D0" w:rsidRDefault="009921D0" w:rsidP="00AD71A2">
      <w:pPr>
        <w:jc w:val="both"/>
        <w:rPr>
          <w:rFonts w:ascii="Arial" w:hAnsi="Arial" w:cs="Arial"/>
        </w:rPr>
      </w:pPr>
    </w:p>
    <w:p w:rsidR="009921D0" w:rsidRDefault="009921D0" w:rsidP="00AD71A2">
      <w:pPr>
        <w:jc w:val="both"/>
        <w:rPr>
          <w:rFonts w:ascii="Arial" w:hAnsi="Arial" w:cs="Arial"/>
        </w:rPr>
      </w:pPr>
      <w:r>
        <w:rPr>
          <w:noProof/>
          <w:lang w:eastAsia="en-GB"/>
        </w:rPr>
        <w:drawing>
          <wp:inline distT="0" distB="0" distL="0" distR="0" wp14:anchorId="01A79B52" wp14:editId="3920F843">
            <wp:extent cx="6229350" cy="3228975"/>
            <wp:effectExtent l="0" t="0" r="1905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6A34" w:rsidRPr="00CD4AA4" w:rsidRDefault="00712AE7" w:rsidP="00AD71A2">
      <w:pPr>
        <w:jc w:val="both"/>
        <w:rPr>
          <w:rFonts w:ascii="Arial" w:hAnsi="Arial" w:cs="Arial"/>
        </w:rPr>
      </w:pPr>
      <w:r w:rsidRPr="00CD4AA4">
        <w:rPr>
          <w:rFonts w:ascii="Arial" w:hAnsi="Arial" w:cs="Arial"/>
        </w:rPr>
        <w:t>Approximately 11% of the local population surrounding Solihull Hospital and 18% surrounding Good Hope Hospital is from black and minority ethnic backgrounds (BME). For the Heartlands area the local BME population is around 52%. When combined proportionately for the Trust, the overall BME population is calculated as 29%.</w:t>
      </w:r>
    </w:p>
    <w:p w:rsidR="00712AE7" w:rsidRPr="00CD4AA4" w:rsidRDefault="00393940" w:rsidP="00AD71A2">
      <w:pPr>
        <w:jc w:val="both"/>
        <w:rPr>
          <w:rFonts w:ascii="Arial" w:hAnsi="Arial" w:cs="Arial"/>
        </w:rPr>
      </w:pPr>
      <w:r w:rsidRPr="00CD4AA4">
        <w:rPr>
          <w:rFonts w:ascii="Arial" w:hAnsi="Arial" w:cs="Arial"/>
        </w:rPr>
        <w:t xml:space="preserve">Table 1 demonstrates that the percentage of staff from BME groups is </w:t>
      </w:r>
      <w:r w:rsidR="009A6A34" w:rsidRPr="00CA63F0">
        <w:rPr>
          <w:rFonts w:ascii="Arial" w:hAnsi="Arial" w:cs="Arial"/>
        </w:rPr>
        <w:t>2</w:t>
      </w:r>
      <w:r w:rsidR="00CA63F0" w:rsidRPr="00CA63F0">
        <w:rPr>
          <w:rFonts w:ascii="Arial" w:hAnsi="Arial" w:cs="Arial"/>
        </w:rPr>
        <w:t>7</w:t>
      </w:r>
      <w:r w:rsidR="009A6A34" w:rsidRPr="00CA63F0">
        <w:rPr>
          <w:rFonts w:ascii="Arial" w:hAnsi="Arial" w:cs="Arial"/>
        </w:rPr>
        <w:t>.3</w:t>
      </w:r>
      <w:r w:rsidRPr="00CD4AA4">
        <w:rPr>
          <w:rFonts w:ascii="Arial" w:hAnsi="Arial" w:cs="Arial"/>
        </w:rPr>
        <w:t xml:space="preserve">%, a </w:t>
      </w:r>
      <w:r w:rsidR="00CA63F0">
        <w:rPr>
          <w:rFonts w:ascii="Arial" w:hAnsi="Arial" w:cs="Arial"/>
        </w:rPr>
        <w:t>1</w:t>
      </w:r>
      <w:r w:rsidRPr="00CD4AA4">
        <w:rPr>
          <w:rFonts w:ascii="Arial" w:hAnsi="Arial" w:cs="Arial"/>
        </w:rPr>
        <w:t xml:space="preserve">% </w:t>
      </w:r>
      <w:r w:rsidRPr="009A6A34">
        <w:rPr>
          <w:rFonts w:ascii="Arial" w:hAnsi="Arial" w:cs="Arial"/>
        </w:rPr>
        <w:t>increase</w:t>
      </w:r>
      <w:r w:rsidRPr="00CD4AA4">
        <w:rPr>
          <w:rFonts w:ascii="Arial" w:hAnsi="Arial" w:cs="Arial"/>
        </w:rPr>
        <w:t xml:space="preserve"> from January 201</w:t>
      </w:r>
      <w:r w:rsidR="00F45542">
        <w:rPr>
          <w:rFonts w:ascii="Arial" w:hAnsi="Arial" w:cs="Arial"/>
        </w:rPr>
        <w:t>5</w:t>
      </w:r>
      <w:r w:rsidRPr="00CD4AA4">
        <w:rPr>
          <w:rFonts w:ascii="Arial" w:hAnsi="Arial" w:cs="Arial"/>
        </w:rPr>
        <w:t>.</w:t>
      </w:r>
      <w:r w:rsidR="005661F9">
        <w:rPr>
          <w:rFonts w:ascii="Arial" w:hAnsi="Arial" w:cs="Arial"/>
        </w:rPr>
        <w:t xml:space="preserve">  </w:t>
      </w:r>
      <w:r w:rsidRPr="00CD4AA4">
        <w:rPr>
          <w:rFonts w:ascii="Arial" w:hAnsi="Arial" w:cs="Arial"/>
        </w:rPr>
        <w:t xml:space="preserve">However the BME workforce </w:t>
      </w:r>
      <w:proofErr w:type="gramStart"/>
      <w:r w:rsidRPr="00CD4AA4">
        <w:rPr>
          <w:rFonts w:ascii="Arial" w:hAnsi="Arial" w:cs="Arial"/>
        </w:rPr>
        <w:t xml:space="preserve">is </w:t>
      </w:r>
      <w:r w:rsidR="001E0A5E">
        <w:rPr>
          <w:rFonts w:ascii="Arial" w:hAnsi="Arial" w:cs="Arial"/>
        </w:rPr>
        <w:t xml:space="preserve"> a</w:t>
      </w:r>
      <w:proofErr w:type="gramEnd"/>
      <w:r w:rsidR="001E0A5E">
        <w:rPr>
          <w:rFonts w:ascii="Arial" w:hAnsi="Arial" w:cs="Arial"/>
        </w:rPr>
        <w:t xml:space="preserve"> little </w:t>
      </w:r>
      <w:r w:rsidRPr="00CD4AA4">
        <w:rPr>
          <w:rFonts w:ascii="Arial" w:hAnsi="Arial" w:cs="Arial"/>
        </w:rPr>
        <w:t>under represented compared to the local population of 29%</w:t>
      </w:r>
    </w:p>
    <w:p w:rsidR="00712AE7" w:rsidRPr="00CD4AA4" w:rsidRDefault="00712AE7" w:rsidP="00AD71A2">
      <w:pPr>
        <w:jc w:val="both"/>
        <w:rPr>
          <w:rFonts w:ascii="Arial" w:hAnsi="Arial" w:cs="Arial"/>
        </w:rPr>
      </w:pPr>
      <w:r w:rsidRPr="00CD4AA4">
        <w:rPr>
          <w:rFonts w:ascii="Arial" w:hAnsi="Arial" w:cs="Arial"/>
        </w:rPr>
        <w:t>Table 2</w:t>
      </w:r>
      <w:r w:rsidR="00CA63F0">
        <w:rPr>
          <w:rFonts w:ascii="Arial" w:hAnsi="Arial" w:cs="Arial"/>
        </w:rPr>
        <w:t xml:space="preserve"> and Graph </w:t>
      </w:r>
      <w:r w:rsidR="007C5706">
        <w:rPr>
          <w:rFonts w:ascii="Arial" w:hAnsi="Arial" w:cs="Arial"/>
        </w:rPr>
        <w:t>1</w:t>
      </w:r>
      <w:r w:rsidRPr="00CD4AA4">
        <w:rPr>
          <w:rFonts w:ascii="Arial" w:hAnsi="Arial" w:cs="Arial"/>
        </w:rPr>
        <w:t xml:space="preserve"> demonstrates that the BME workforce </w:t>
      </w:r>
      <w:r w:rsidR="005661F9">
        <w:rPr>
          <w:rFonts w:ascii="Arial" w:hAnsi="Arial" w:cs="Arial"/>
        </w:rPr>
        <w:t xml:space="preserve">percentage </w:t>
      </w:r>
      <w:r w:rsidRPr="00CD4AA4">
        <w:rPr>
          <w:rFonts w:ascii="Arial" w:hAnsi="Arial" w:cs="Arial"/>
        </w:rPr>
        <w:t xml:space="preserve">at Heartlands Hospital is considerably lower than </w:t>
      </w:r>
      <w:r w:rsidR="00A458C3">
        <w:rPr>
          <w:rFonts w:ascii="Arial" w:hAnsi="Arial" w:cs="Arial"/>
        </w:rPr>
        <w:t xml:space="preserve">that of </w:t>
      </w:r>
      <w:r w:rsidRPr="00CD4AA4">
        <w:rPr>
          <w:rFonts w:ascii="Arial" w:hAnsi="Arial" w:cs="Arial"/>
        </w:rPr>
        <w:t>the local population.</w:t>
      </w:r>
    </w:p>
    <w:p w:rsidR="00712AE7" w:rsidRPr="00CD4AA4" w:rsidRDefault="00712AE7" w:rsidP="00AD71A2">
      <w:pPr>
        <w:jc w:val="both"/>
        <w:rPr>
          <w:rFonts w:ascii="Arial" w:hAnsi="Arial" w:cs="Arial"/>
        </w:rPr>
      </w:pPr>
      <w:r w:rsidRPr="00CD4AA4">
        <w:rPr>
          <w:rFonts w:ascii="Arial" w:hAnsi="Arial" w:cs="Arial"/>
        </w:rPr>
        <w:lastRenderedPageBreak/>
        <w:t xml:space="preserve">Table 3 </w:t>
      </w:r>
      <w:r w:rsidR="00CA63F0">
        <w:rPr>
          <w:rFonts w:ascii="Arial" w:hAnsi="Arial" w:cs="Arial"/>
        </w:rPr>
        <w:t xml:space="preserve">and Graph </w:t>
      </w:r>
      <w:r w:rsidR="007C5706">
        <w:rPr>
          <w:rFonts w:ascii="Arial" w:hAnsi="Arial" w:cs="Arial"/>
        </w:rPr>
        <w:t>1</w:t>
      </w:r>
      <w:r w:rsidR="00CA63F0">
        <w:rPr>
          <w:rFonts w:ascii="Arial" w:hAnsi="Arial" w:cs="Arial"/>
        </w:rPr>
        <w:t xml:space="preserve"> </w:t>
      </w:r>
      <w:r w:rsidRPr="00CD4AA4">
        <w:rPr>
          <w:rFonts w:ascii="Arial" w:hAnsi="Arial" w:cs="Arial"/>
        </w:rPr>
        <w:t>demonstrates that the BME workforce at Solihull Hospital is proportionately higher than that of the local population</w:t>
      </w:r>
      <w:r w:rsidR="005661F9">
        <w:rPr>
          <w:rFonts w:ascii="Arial" w:hAnsi="Arial" w:cs="Arial"/>
        </w:rPr>
        <w:t>.</w:t>
      </w:r>
      <w:r w:rsidRPr="00CD4AA4">
        <w:rPr>
          <w:rFonts w:ascii="Arial" w:hAnsi="Arial" w:cs="Arial"/>
        </w:rPr>
        <w:t xml:space="preserve"> </w:t>
      </w:r>
    </w:p>
    <w:p w:rsidR="00712AE7" w:rsidRDefault="00712AE7" w:rsidP="00AD71A2">
      <w:pPr>
        <w:jc w:val="both"/>
        <w:rPr>
          <w:rFonts w:ascii="Arial" w:hAnsi="Arial" w:cs="Arial"/>
        </w:rPr>
      </w:pPr>
      <w:r w:rsidRPr="00CD4AA4">
        <w:rPr>
          <w:rFonts w:ascii="Arial" w:hAnsi="Arial" w:cs="Arial"/>
        </w:rPr>
        <w:t xml:space="preserve">Table 4 </w:t>
      </w:r>
      <w:r w:rsidR="00CA63F0">
        <w:rPr>
          <w:rFonts w:ascii="Arial" w:hAnsi="Arial" w:cs="Arial"/>
        </w:rPr>
        <w:t xml:space="preserve">and Graph </w:t>
      </w:r>
      <w:r w:rsidR="007C5706">
        <w:rPr>
          <w:rFonts w:ascii="Arial" w:hAnsi="Arial" w:cs="Arial"/>
        </w:rPr>
        <w:t>1</w:t>
      </w:r>
      <w:r w:rsidR="00CA63F0">
        <w:rPr>
          <w:rFonts w:ascii="Arial" w:hAnsi="Arial" w:cs="Arial"/>
        </w:rPr>
        <w:t xml:space="preserve"> </w:t>
      </w:r>
      <w:r w:rsidRPr="00CD4AA4">
        <w:rPr>
          <w:rFonts w:ascii="Arial" w:hAnsi="Arial" w:cs="Arial"/>
        </w:rPr>
        <w:t xml:space="preserve">demonstrates that at Good Hope the BME workforce </w:t>
      </w:r>
      <w:r w:rsidR="005661F9">
        <w:rPr>
          <w:rFonts w:ascii="Arial" w:hAnsi="Arial" w:cs="Arial"/>
        </w:rPr>
        <w:t xml:space="preserve">percentage </w:t>
      </w:r>
      <w:r w:rsidRPr="00CD4AA4">
        <w:rPr>
          <w:rFonts w:ascii="Arial" w:hAnsi="Arial" w:cs="Arial"/>
        </w:rPr>
        <w:t>exceeds that of the local population.</w:t>
      </w:r>
    </w:p>
    <w:p w:rsidR="00B5372A" w:rsidRPr="00CD4AA4" w:rsidRDefault="00B5372A" w:rsidP="00AD71A2">
      <w:pPr>
        <w:jc w:val="both"/>
        <w:rPr>
          <w:rFonts w:ascii="Arial" w:hAnsi="Arial" w:cs="Arial"/>
        </w:rPr>
      </w:pPr>
    </w:p>
    <w:p w:rsidR="00CA63F0" w:rsidRDefault="00CA63F0" w:rsidP="00AD71A2">
      <w:pPr>
        <w:jc w:val="both"/>
        <w:rPr>
          <w:rFonts w:ascii="Arial" w:hAnsi="Arial" w:cs="Arial"/>
        </w:rPr>
      </w:pPr>
      <w:r>
        <w:rPr>
          <w:noProof/>
          <w:lang w:eastAsia="en-GB"/>
        </w:rPr>
        <w:drawing>
          <wp:inline distT="0" distB="0" distL="0" distR="0" wp14:anchorId="18A7F957" wp14:editId="6F28B384">
            <wp:extent cx="6219825" cy="3514725"/>
            <wp:effectExtent l="0" t="0" r="9525"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2AE7" w:rsidRPr="00CD4AA4" w:rsidRDefault="00712AE7" w:rsidP="00AD71A2">
      <w:pPr>
        <w:rPr>
          <w:rFonts w:ascii="Arial" w:hAnsi="Arial" w:cs="Arial"/>
        </w:rPr>
      </w:pPr>
      <w:r w:rsidRPr="00CD4AA4">
        <w:rPr>
          <w:rFonts w:ascii="Arial" w:hAnsi="Arial" w:cs="Arial"/>
        </w:rPr>
        <w:t xml:space="preserve">Graph </w:t>
      </w:r>
      <w:r w:rsidR="007C5706">
        <w:rPr>
          <w:rFonts w:ascii="Arial" w:hAnsi="Arial" w:cs="Arial"/>
        </w:rPr>
        <w:t>2</w:t>
      </w:r>
      <w:r w:rsidRPr="00CD4AA4">
        <w:rPr>
          <w:rFonts w:ascii="Arial" w:hAnsi="Arial" w:cs="Arial"/>
        </w:rPr>
        <w:t xml:space="preserve"> shows that there are still some groups in which BME representation is very high across the Trust such as Medics (Junior Medics </w:t>
      </w:r>
      <w:r w:rsidR="00CA63F0">
        <w:rPr>
          <w:rFonts w:ascii="Arial" w:hAnsi="Arial" w:cs="Arial"/>
        </w:rPr>
        <w:t>55</w:t>
      </w:r>
      <w:r w:rsidRPr="00CD4AA4">
        <w:rPr>
          <w:rFonts w:ascii="Arial" w:hAnsi="Arial" w:cs="Arial"/>
        </w:rPr>
        <w:t xml:space="preserve">%, Senior Medics </w:t>
      </w:r>
      <w:r w:rsidR="00CA63F0">
        <w:rPr>
          <w:rFonts w:ascii="Arial" w:hAnsi="Arial" w:cs="Arial"/>
        </w:rPr>
        <w:t>55</w:t>
      </w:r>
      <w:r w:rsidRPr="00CD4AA4">
        <w:rPr>
          <w:rFonts w:ascii="Arial" w:hAnsi="Arial" w:cs="Arial"/>
        </w:rPr>
        <w:t>%) and Pharmacists (</w:t>
      </w:r>
      <w:r w:rsidR="00CA63F0">
        <w:rPr>
          <w:rFonts w:ascii="Arial" w:hAnsi="Arial" w:cs="Arial"/>
        </w:rPr>
        <w:t>51</w:t>
      </w:r>
      <w:r w:rsidRPr="00CD4AA4">
        <w:rPr>
          <w:rFonts w:ascii="Arial" w:hAnsi="Arial" w:cs="Arial"/>
        </w:rPr>
        <w:t>%), but there are also areas of relatively low representation such as Maintenance (</w:t>
      </w:r>
      <w:r w:rsidR="00B84A32">
        <w:rPr>
          <w:rFonts w:ascii="Arial" w:hAnsi="Arial" w:cs="Arial"/>
        </w:rPr>
        <w:t>11</w:t>
      </w:r>
      <w:r w:rsidRPr="00CD4AA4">
        <w:rPr>
          <w:rFonts w:ascii="Arial" w:hAnsi="Arial" w:cs="Arial"/>
        </w:rPr>
        <w:t>%)</w:t>
      </w:r>
      <w:r w:rsidR="00B5372A">
        <w:rPr>
          <w:rFonts w:ascii="Arial" w:hAnsi="Arial" w:cs="Arial"/>
        </w:rPr>
        <w:t xml:space="preserve"> and Senior Managers (</w:t>
      </w:r>
      <w:r w:rsidR="00B84A32">
        <w:rPr>
          <w:rFonts w:ascii="Arial" w:hAnsi="Arial" w:cs="Arial"/>
        </w:rPr>
        <w:t>15</w:t>
      </w:r>
      <w:r w:rsidR="00B5372A">
        <w:rPr>
          <w:rFonts w:ascii="Arial" w:hAnsi="Arial" w:cs="Arial"/>
        </w:rPr>
        <w:t>%)</w:t>
      </w:r>
      <w:r w:rsidRPr="00CD4AA4">
        <w:rPr>
          <w:rFonts w:ascii="Arial" w:hAnsi="Arial" w:cs="Arial"/>
        </w:rPr>
        <w:t>.</w:t>
      </w:r>
    </w:p>
    <w:p w:rsidR="00F1222F" w:rsidRDefault="00F1222F" w:rsidP="00AD71A2">
      <w:pPr>
        <w:rPr>
          <w:rFonts w:ascii="Arial" w:hAnsi="Arial" w:cs="Arial"/>
        </w:rPr>
      </w:pPr>
      <w:r>
        <w:rPr>
          <w:rFonts w:ascii="Arial" w:hAnsi="Arial" w:cs="Arial"/>
        </w:rPr>
        <w:t>At site level the following observations are made:</w:t>
      </w:r>
    </w:p>
    <w:p w:rsidR="00F1222F" w:rsidRDefault="00F1222F" w:rsidP="00F1222F">
      <w:pPr>
        <w:pStyle w:val="ListParagraph"/>
        <w:numPr>
          <w:ilvl w:val="0"/>
          <w:numId w:val="50"/>
        </w:numPr>
        <w:rPr>
          <w:rFonts w:ascii="Arial" w:hAnsi="Arial" w:cs="Arial"/>
        </w:rPr>
      </w:pPr>
      <w:r w:rsidRPr="00F1222F">
        <w:rPr>
          <w:rFonts w:ascii="Arial" w:hAnsi="Arial" w:cs="Arial"/>
          <w:b/>
        </w:rPr>
        <w:t>Heartlands</w:t>
      </w:r>
      <w:r>
        <w:rPr>
          <w:rFonts w:ascii="Arial" w:hAnsi="Arial" w:cs="Arial"/>
        </w:rPr>
        <w:br/>
        <w:t>The proportion of administrative and clerical (22%), ancillary (5%), m</w:t>
      </w:r>
      <w:r w:rsidRPr="00F1222F">
        <w:rPr>
          <w:rFonts w:ascii="Arial" w:hAnsi="Arial" w:cs="Arial"/>
        </w:rPr>
        <w:t>aintenance (</w:t>
      </w:r>
      <w:r>
        <w:rPr>
          <w:rFonts w:ascii="Arial" w:hAnsi="Arial" w:cs="Arial"/>
        </w:rPr>
        <w:t>11</w:t>
      </w:r>
      <w:r w:rsidRPr="00F1222F">
        <w:rPr>
          <w:rFonts w:ascii="Arial" w:hAnsi="Arial" w:cs="Arial"/>
        </w:rPr>
        <w:t xml:space="preserve">%), </w:t>
      </w:r>
      <w:r>
        <w:rPr>
          <w:rFonts w:ascii="Arial" w:hAnsi="Arial" w:cs="Arial"/>
        </w:rPr>
        <w:t>allied health professional (19%), scientists (19%) and s</w:t>
      </w:r>
      <w:r w:rsidRPr="00F1222F">
        <w:rPr>
          <w:rFonts w:ascii="Arial" w:hAnsi="Arial" w:cs="Arial"/>
        </w:rPr>
        <w:t xml:space="preserve">enior </w:t>
      </w:r>
      <w:r>
        <w:rPr>
          <w:rFonts w:ascii="Arial" w:hAnsi="Arial" w:cs="Arial"/>
        </w:rPr>
        <w:t>m</w:t>
      </w:r>
      <w:r w:rsidRPr="00F1222F">
        <w:rPr>
          <w:rFonts w:ascii="Arial" w:hAnsi="Arial" w:cs="Arial"/>
        </w:rPr>
        <w:t>anagers (</w:t>
      </w:r>
      <w:r>
        <w:rPr>
          <w:rFonts w:ascii="Arial" w:hAnsi="Arial" w:cs="Arial"/>
        </w:rPr>
        <w:t>15</w:t>
      </w:r>
      <w:r w:rsidRPr="00F1222F">
        <w:rPr>
          <w:rFonts w:ascii="Arial" w:hAnsi="Arial" w:cs="Arial"/>
        </w:rPr>
        <w:t>%) remain low in comparison with the local population</w:t>
      </w:r>
      <w:r>
        <w:rPr>
          <w:rFonts w:ascii="Arial" w:hAnsi="Arial" w:cs="Arial"/>
        </w:rPr>
        <w:br/>
      </w:r>
    </w:p>
    <w:p w:rsidR="00F1222F" w:rsidRDefault="00F1222F" w:rsidP="00F1222F">
      <w:pPr>
        <w:pStyle w:val="ListParagraph"/>
        <w:numPr>
          <w:ilvl w:val="0"/>
          <w:numId w:val="50"/>
        </w:numPr>
        <w:rPr>
          <w:rFonts w:ascii="Arial" w:hAnsi="Arial" w:cs="Arial"/>
        </w:rPr>
      </w:pPr>
      <w:r w:rsidRPr="00F1222F">
        <w:rPr>
          <w:rFonts w:ascii="Arial" w:hAnsi="Arial" w:cs="Arial"/>
          <w:b/>
        </w:rPr>
        <w:t>Solihull and Community</w:t>
      </w:r>
      <w:r>
        <w:rPr>
          <w:rFonts w:ascii="Arial" w:hAnsi="Arial" w:cs="Arial"/>
        </w:rPr>
        <w:br/>
        <w:t>The overall profile of Community staff (11% BME, 89% White) reflects that of the local population.</w:t>
      </w:r>
      <w:r>
        <w:rPr>
          <w:rFonts w:ascii="Arial" w:hAnsi="Arial" w:cs="Arial"/>
        </w:rPr>
        <w:br/>
        <w:t xml:space="preserve">The profile of staff at Solihull Hospital shows that the BME workforce is above that of the local population in 9 out of 11 staff groups.  The overall profile is 25% BME and 75% White. </w:t>
      </w:r>
      <w:r>
        <w:rPr>
          <w:rFonts w:ascii="Arial" w:hAnsi="Arial" w:cs="Arial"/>
        </w:rPr>
        <w:br/>
      </w:r>
    </w:p>
    <w:p w:rsidR="00712AE7" w:rsidRPr="00F1222F" w:rsidRDefault="00F1222F" w:rsidP="00F1222F">
      <w:pPr>
        <w:pStyle w:val="ListParagraph"/>
        <w:numPr>
          <w:ilvl w:val="0"/>
          <w:numId w:val="50"/>
        </w:numPr>
        <w:rPr>
          <w:rFonts w:ascii="Arial" w:hAnsi="Arial" w:cs="Arial"/>
        </w:rPr>
      </w:pPr>
      <w:r w:rsidRPr="00F1222F">
        <w:rPr>
          <w:rFonts w:ascii="Arial" w:hAnsi="Arial" w:cs="Arial"/>
          <w:b/>
        </w:rPr>
        <w:t>Good Hope</w:t>
      </w:r>
      <w:r>
        <w:rPr>
          <w:rFonts w:ascii="Arial" w:hAnsi="Arial" w:cs="Arial"/>
        </w:rPr>
        <w:br/>
        <w:t xml:space="preserve">The </w:t>
      </w:r>
      <w:r w:rsidR="00712AE7" w:rsidRPr="00F1222F">
        <w:rPr>
          <w:rFonts w:ascii="Arial" w:hAnsi="Arial" w:cs="Arial"/>
        </w:rPr>
        <w:t xml:space="preserve">BME </w:t>
      </w:r>
      <w:r>
        <w:rPr>
          <w:rFonts w:ascii="Arial" w:hAnsi="Arial" w:cs="Arial"/>
        </w:rPr>
        <w:t>a</w:t>
      </w:r>
      <w:r w:rsidR="00712AE7" w:rsidRPr="00F1222F">
        <w:rPr>
          <w:rFonts w:ascii="Arial" w:hAnsi="Arial" w:cs="Arial"/>
        </w:rPr>
        <w:t xml:space="preserve">dministrative and </w:t>
      </w:r>
      <w:r>
        <w:rPr>
          <w:rFonts w:ascii="Arial" w:hAnsi="Arial" w:cs="Arial"/>
        </w:rPr>
        <w:t>c</w:t>
      </w:r>
      <w:r w:rsidR="00712AE7" w:rsidRPr="00F1222F">
        <w:rPr>
          <w:rFonts w:ascii="Arial" w:hAnsi="Arial" w:cs="Arial"/>
        </w:rPr>
        <w:t>lerical (</w:t>
      </w:r>
      <w:r>
        <w:rPr>
          <w:rFonts w:ascii="Arial" w:hAnsi="Arial" w:cs="Arial"/>
        </w:rPr>
        <w:t>7</w:t>
      </w:r>
      <w:r w:rsidR="00712AE7" w:rsidRPr="00F1222F">
        <w:rPr>
          <w:rFonts w:ascii="Arial" w:hAnsi="Arial" w:cs="Arial"/>
        </w:rPr>
        <w:t xml:space="preserve">%) and </w:t>
      </w:r>
      <w:r>
        <w:rPr>
          <w:rFonts w:ascii="Arial" w:hAnsi="Arial" w:cs="Arial"/>
        </w:rPr>
        <w:t>maintenance</w:t>
      </w:r>
      <w:r w:rsidR="00712AE7" w:rsidRPr="00F1222F">
        <w:rPr>
          <w:rFonts w:ascii="Arial" w:hAnsi="Arial" w:cs="Arial"/>
        </w:rPr>
        <w:t xml:space="preserve"> (</w:t>
      </w:r>
      <w:r w:rsidR="00155D1D" w:rsidRPr="00F1222F">
        <w:rPr>
          <w:rFonts w:ascii="Arial" w:hAnsi="Arial" w:cs="Arial"/>
        </w:rPr>
        <w:t>5</w:t>
      </w:r>
      <w:r w:rsidR="00712AE7" w:rsidRPr="00F1222F">
        <w:rPr>
          <w:rFonts w:ascii="Arial" w:hAnsi="Arial" w:cs="Arial"/>
        </w:rPr>
        <w:t xml:space="preserve">%) </w:t>
      </w:r>
      <w:r>
        <w:rPr>
          <w:rFonts w:ascii="Arial" w:hAnsi="Arial" w:cs="Arial"/>
        </w:rPr>
        <w:t xml:space="preserve">staff at </w:t>
      </w:r>
      <w:r w:rsidR="00712AE7" w:rsidRPr="00F1222F">
        <w:rPr>
          <w:rFonts w:ascii="Arial" w:hAnsi="Arial" w:cs="Arial"/>
        </w:rPr>
        <w:t>Good Hope</w:t>
      </w:r>
      <w:r>
        <w:rPr>
          <w:rFonts w:ascii="Arial" w:hAnsi="Arial" w:cs="Arial"/>
        </w:rPr>
        <w:t xml:space="preserve"> remain low in relation to the local population.</w:t>
      </w:r>
    </w:p>
    <w:p w:rsidR="00712AE7" w:rsidRDefault="00712AE7" w:rsidP="00AD71A2">
      <w:pPr>
        <w:rPr>
          <w:rFonts w:ascii="Arial" w:hAnsi="Arial" w:cs="Arial"/>
          <w:b/>
        </w:rPr>
      </w:pPr>
      <w:r w:rsidRPr="00CD4AA4">
        <w:rPr>
          <w:rFonts w:ascii="Arial" w:hAnsi="Arial" w:cs="Arial"/>
          <w:b/>
        </w:rPr>
        <w:lastRenderedPageBreak/>
        <w:t>2.2</w:t>
      </w:r>
      <w:r w:rsidRPr="00CD4AA4">
        <w:rPr>
          <w:rFonts w:ascii="Arial" w:hAnsi="Arial" w:cs="Arial"/>
          <w:b/>
        </w:rPr>
        <w:tab/>
        <w:t>Recruitment and Selection analysis by Ethnicity</w:t>
      </w:r>
    </w:p>
    <w:p w:rsidR="00726363" w:rsidRDefault="004F2664" w:rsidP="00AD71A2">
      <w:pPr>
        <w:rPr>
          <w:noProof/>
          <w:lang w:eastAsia="en-GB"/>
        </w:rPr>
      </w:pPr>
      <w:r>
        <w:rPr>
          <w:noProof/>
          <w:lang w:eastAsia="en-GB"/>
        </w:rPr>
        <w:drawing>
          <wp:inline distT="0" distB="0" distL="0" distR="0" wp14:anchorId="2B70548A" wp14:editId="21619204">
            <wp:extent cx="6096000" cy="3629025"/>
            <wp:effectExtent l="0" t="0" r="1905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2664" w:rsidRDefault="004F2664" w:rsidP="00AD71A2">
      <w:pPr>
        <w:rPr>
          <w:rFonts w:ascii="Arial" w:hAnsi="Arial" w:cs="Arial"/>
          <w:b/>
        </w:rPr>
      </w:pPr>
    </w:p>
    <w:p w:rsidR="00BA744A" w:rsidRDefault="00712AE7" w:rsidP="00BA744A">
      <w:pPr>
        <w:rPr>
          <w:rFonts w:ascii="Arial" w:hAnsi="Arial" w:cs="Arial"/>
        </w:rPr>
      </w:pPr>
      <w:r w:rsidRPr="00CD4AA4">
        <w:rPr>
          <w:rFonts w:ascii="Arial" w:hAnsi="Arial" w:cs="Arial"/>
        </w:rPr>
        <w:t xml:space="preserve">Graph </w:t>
      </w:r>
      <w:r w:rsidR="007C5706">
        <w:rPr>
          <w:rFonts w:ascii="Arial" w:hAnsi="Arial" w:cs="Arial"/>
        </w:rPr>
        <w:t>3</w:t>
      </w:r>
      <w:r w:rsidRPr="00CD4AA4">
        <w:rPr>
          <w:rFonts w:ascii="Arial" w:hAnsi="Arial" w:cs="Arial"/>
        </w:rPr>
        <w:t xml:space="preserve"> demonstrates recruitment and selection activity for the period </w:t>
      </w:r>
      <w:r w:rsidR="004F2664">
        <w:rPr>
          <w:rFonts w:ascii="Arial" w:hAnsi="Arial" w:cs="Arial"/>
        </w:rPr>
        <w:t>October 2014 – September 2015.  The proportion of BME applicants, shortlisted candidates and appointments remains similar to 2014</w:t>
      </w:r>
      <w:r w:rsidR="00BA744A">
        <w:rPr>
          <w:rFonts w:ascii="Arial" w:hAnsi="Arial" w:cs="Arial"/>
        </w:rPr>
        <w:t xml:space="preserve">.  </w:t>
      </w:r>
    </w:p>
    <w:p w:rsidR="00BA744A" w:rsidRDefault="004F2664" w:rsidP="00BA744A">
      <w:pPr>
        <w:rPr>
          <w:rFonts w:ascii="Arial" w:hAnsi="Arial" w:cs="Arial"/>
        </w:rPr>
      </w:pPr>
      <w:r w:rsidRPr="004F2664">
        <w:rPr>
          <w:rFonts w:ascii="Arial" w:hAnsi="Arial" w:cs="Arial"/>
        </w:rPr>
        <w:t xml:space="preserve">Analysis conducted as part of the Workforce Race Equality Standard shows that </w:t>
      </w:r>
      <w:r w:rsidR="00BA744A">
        <w:rPr>
          <w:rFonts w:ascii="Arial" w:hAnsi="Arial" w:cs="Arial"/>
        </w:rPr>
        <w:t>the r</w:t>
      </w:r>
      <w:r w:rsidRPr="004F2664">
        <w:rPr>
          <w:rFonts w:ascii="Arial" w:hAnsi="Arial" w:cs="Arial"/>
        </w:rPr>
        <w:t xml:space="preserve">elative likelihood of white staff being appointed from shortlisting compared to BME staff </w:t>
      </w:r>
      <w:r w:rsidR="00BA744A">
        <w:rPr>
          <w:rFonts w:ascii="Arial" w:hAnsi="Arial" w:cs="Arial"/>
        </w:rPr>
        <w:t xml:space="preserve">was </w:t>
      </w:r>
      <w:r w:rsidRPr="004F2664">
        <w:rPr>
          <w:rFonts w:ascii="Arial" w:hAnsi="Arial" w:cs="Arial"/>
        </w:rPr>
        <w:t>1.54 times greater</w:t>
      </w:r>
      <w:r w:rsidR="00BA744A">
        <w:rPr>
          <w:rFonts w:ascii="Arial" w:hAnsi="Arial" w:cs="Arial"/>
        </w:rPr>
        <w:t xml:space="preserve">.  </w:t>
      </w:r>
    </w:p>
    <w:p w:rsidR="001816CD" w:rsidRDefault="007F66B7" w:rsidP="00BA744A">
      <w:pPr>
        <w:rPr>
          <w:rFonts w:ascii="Arial" w:hAnsi="Arial" w:cs="Arial"/>
        </w:rPr>
      </w:pPr>
      <w:r>
        <w:rPr>
          <w:rFonts w:ascii="Arial" w:hAnsi="Arial" w:cs="Arial"/>
        </w:rPr>
        <w:t xml:space="preserve">An agreed action was to further analyse vacancies by staff group.  The </w:t>
      </w:r>
      <w:r w:rsidR="001816CD">
        <w:rPr>
          <w:rFonts w:ascii="Arial" w:hAnsi="Arial" w:cs="Arial"/>
        </w:rPr>
        <w:t xml:space="preserve">analysis </w:t>
      </w:r>
      <w:r>
        <w:rPr>
          <w:rFonts w:ascii="Arial" w:hAnsi="Arial" w:cs="Arial"/>
        </w:rPr>
        <w:t xml:space="preserve">is </w:t>
      </w:r>
      <w:r w:rsidR="001816CD">
        <w:rPr>
          <w:rFonts w:ascii="Arial" w:hAnsi="Arial" w:cs="Arial"/>
        </w:rPr>
        <w:t>presented below.</w:t>
      </w:r>
    </w:p>
    <w:p w:rsidR="001816CD" w:rsidRDefault="001816CD">
      <w:pPr>
        <w:spacing w:after="0" w:line="240" w:lineRule="auto"/>
        <w:rPr>
          <w:rFonts w:ascii="Arial" w:hAnsi="Arial" w:cs="Arial"/>
        </w:rPr>
      </w:pPr>
      <w:r>
        <w:rPr>
          <w:rFonts w:ascii="Arial" w:hAnsi="Arial" w:cs="Arial"/>
        </w:rPr>
        <w:br w:type="page"/>
      </w:r>
    </w:p>
    <w:p w:rsidR="001816CD" w:rsidRPr="001816CD" w:rsidRDefault="001816CD" w:rsidP="00BA744A">
      <w:pPr>
        <w:rPr>
          <w:rFonts w:ascii="Arial" w:hAnsi="Arial" w:cs="Arial"/>
          <w:b/>
        </w:rPr>
      </w:pPr>
      <w:r w:rsidRPr="001816CD">
        <w:rPr>
          <w:rFonts w:ascii="Arial" w:hAnsi="Arial" w:cs="Arial"/>
          <w:b/>
        </w:rPr>
        <w:lastRenderedPageBreak/>
        <w:t>Vacancy Analysis by Staff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4794"/>
      </w:tblGrid>
      <w:tr w:rsidR="001816CD" w:rsidTr="007F66B7">
        <w:tc>
          <w:tcPr>
            <w:tcW w:w="0" w:type="auto"/>
          </w:tcPr>
          <w:p w:rsidR="001816CD" w:rsidRDefault="001816CD" w:rsidP="001816CD">
            <w:pPr>
              <w:rPr>
                <w:rFonts w:ascii="Arial" w:hAnsi="Arial" w:cs="Arial"/>
              </w:rPr>
            </w:pPr>
            <w:r>
              <w:rPr>
                <w:noProof/>
                <w:lang w:eastAsia="en-GB"/>
              </w:rPr>
              <w:drawing>
                <wp:inline distT="0" distB="0" distL="0" distR="0" wp14:anchorId="6BF99AC7" wp14:editId="61B3BF66">
                  <wp:extent cx="3000375" cy="2743200"/>
                  <wp:effectExtent l="0" t="0" r="9525"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0" w:type="auto"/>
          </w:tcPr>
          <w:p w:rsidR="001816CD" w:rsidRDefault="001816CD" w:rsidP="00BA744A">
            <w:pPr>
              <w:rPr>
                <w:rFonts w:ascii="Arial" w:hAnsi="Arial" w:cs="Arial"/>
              </w:rPr>
            </w:pPr>
            <w:r>
              <w:rPr>
                <w:noProof/>
                <w:lang w:eastAsia="en-GB"/>
              </w:rPr>
              <w:drawing>
                <wp:inline distT="0" distB="0" distL="0" distR="0" wp14:anchorId="47C296AD" wp14:editId="0F1B56E6">
                  <wp:extent cx="2924175" cy="2743200"/>
                  <wp:effectExtent l="0" t="0" r="9525"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816CD" w:rsidTr="007F66B7">
        <w:tc>
          <w:tcPr>
            <w:tcW w:w="0" w:type="auto"/>
          </w:tcPr>
          <w:p w:rsidR="001816CD" w:rsidRDefault="001816CD" w:rsidP="00BA744A">
            <w:pPr>
              <w:rPr>
                <w:rFonts w:ascii="Arial" w:hAnsi="Arial" w:cs="Arial"/>
              </w:rPr>
            </w:pPr>
            <w:r>
              <w:rPr>
                <w:noProof/>
                <w:lang w:eastAsia="en-GB"/>
              </w:rPr>
              <w:drawing>
                <wp:inline distT="0" distB="0" distL="0" distR="0" wp14:anchorId="78BD4E34" wp14:editId="116E22F8">
                  <wp:extent cx="2943225" cy="2657475"/>
                  <wp:effectExtent l="0" t="0" r="9525"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16CD" w:rsidRDefault="001816CD" w:rsidP="00BA744A">
            <w:pPr>
              <w:rPr>
                <w:rFonts w:ascii="Arial" w:hAnsi="Arial" w:cs="Arial"/>
              </w:rPr>
            </w:pPr>
          </w:p>
          <w:p w:rsidR="007F66B7" w:rsidRDefault="007F66B7" w:rsidP="00BA744A">
            <w:pPr>
              <w:rPr>
                <w:rFonts w:ascii="Arial" w:hAnsi="Arial" w:cs="Arial"/>
              </w:rPr>
            </w:pPr>
          </w:p>
          <w:p w:rsidR="007F66B7" w:rsidRDefault="007F66B7" w:rsidP="00BA744A">
            <w:pPr>
              <w:rPr>
                <w:rFonts w:ascii="Arial" w:hAnsi="Arial" w:cs="Arial"/>
              </w:rPr>
            </w:pPr>
          </w:p>
          <w:p w:rsidR="007F66B7" w:rsidRDefault="007F66B7" w:rsidP="00BA744A">
            <w:pPr>
              <w:rPr>
                <w:rFonts w:ascii="Arial" w:hAnsi="Arial" w:cs="Arial"/>
              </w:rPr>
            </w:pPr>
          </w:p>
          <w:p w:rsidR="007F66B7" w:rsidRDefault="007F66B7" w:rsidP="00BA744A">
            <w:pPr>
              <w:rPr>
                <w:rFonts w:ascii="Arial" w:hAnsi="Arial" w:cs="Arial"/>
              </w:rPr>
            </w:pPr>
          </w:p>
          <w:p w:rsidR="007F66B7" w:rsidRDefault="007F66B7" w:rsidP="00BA744A">
            <w:pPr>
              <w:rPr>
                <w:rFonts w:ascii="Arial" w:hAnsi="Arial" w:cs="Arial"/>
              </w:rPr>
            </w:pPr>
          </w:p>
          <w:p w:rsidR="007F66B7" w:rsidRDefault="007F66B7" w:rsidP="00BA744A">
            <w:pPr>
              <w:rPr>
                <w:rFonts w:ascii="Arial" w:hAnsi="Arial" w:cs="Arial"/>
              </w:rPr>
            </w:pPr>
          </w:p>
          <w:p w:rsidR="007F66B7" w:rsidRDefault="007F66B7" w:rsidP="00BA744A">
            <w:pPr>
              <w:rPr>
                <w:rFonts w:ascii="Arial" w:hAnsi="Arial" w:cs="Arial"/>
              </w:rPr>
            </w:pPr>
          </w:p>
          <w:p w:rsidR="007F66B7" w:rsidRDefault="007F66B7" w:rsidP="00BA744A">
            <w:pPr>
              <w:rPr>
                <w:rFonts w:ascii="Arial" w:hAnsi="Arial" w:cs="Arial"/>
              </w:rPr>
            </w:pPr>
          </w:p>
          <w:p w:rsidR="007F66B7" w:rsidRPr="007F66B7" w:rsidRDefault="007F66B7" w:rsidP="00BA744A">
            <w:pPr>
              <w:rPr>
                <w:rFonts w:ascii="Arial" w:hAnsi="Arial" w:cs="Arial"/>
                <w:b/>
              </w:rPr>
            </w:pPr>
            <w:r w:rsidRPr="007F66B7">
              <w:rPr>
                <w:rFonts w:ascii="Arial" w:hAnsi="Arial" w:cs="Arial"/>
                <w:b/>
              </w:rPr>
              <w:lastRenderedPageBreak/>
              <w:t>Vacancy Analysis by Staff Group cont…</w:t>
            </w:r>
          </w:p>
          <w:p w:rsidR="007F66B7" w:rsidRDefault="007F66B7" w:rsidP="00BA744A">
            <w:pPr>
              <w:rPr>
                <w:rFonts w:ascii="Arial" w:hAnsi="Arial" w:cs="Arial"/>
              </w:rPr>
            </w:pPr>
          </w:p>
        </w:tc>
        <w:tc>
          <w:tcPr>
            <w:tcW w:w="0" w:type="auto"/>
          </w:tcPr>
          <w:p w:rsidR="001816CD" w:rsidRDefault="001816CD" w:rsidP="00BA744A">
            <w:pPr>
              <w:rPr>
                <w:rFonts w:ascii="Arial" w:hAnsi="Arial" w:cs="Arial"/>
              </w:rPr>
            </w:pPr>
            <w:r>
              <w:rPr>
                <w:noProof/>
                <w:lang w:eastAsia="en-GB"/>
              </w:rPr>
              <w:lastRenderedPageBreak/>
              <w:drawing>
                <wp:inline distT="0" distB="0" distL="0" distR="0" wp14:anchorId="49404428" wp14:editId="418397FC">
                  <wp:extent cx="2924175" cy="2657475"/>
                  <wp:effectExtent l="0" t="0" r="9525"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1816CD" w:rsidTr="007F66B7">
        <w:tc>
          <w:tcPr>
            <w:tcW w:w="4941" w:type="dxa"/>
          </w:tcPr>
          <w:p w:rsidR="001816CD" w:rsidRDefault="001816CD" w:rsidP="00BA744A">
            <w:pPr>
              <w:rPr>
                <w:noProof/>
                <w:lang w:eastAsia="en-GB"/>
              </w:rPr>
            </w:pPr>
            <w:r>
              <w:rPr>
                <w:noProof/>
                <w:lang w:eastAsia="en-GB"/>
              </w:rPr>
              <w:lastRenderedPageBreak/>
              <w:drawing>
                <wp:inline distT="0" distB="0" distL="0" distR="0" wp14:anchorId="7CB72F73" wp14:editId="1AA44577">
                  <wp:extent cx="3100388" cy="2571750"/>
                  <wp:effectExtent l="0" t="0" r="24130"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16CD" w:rsidRDefault="001816CD" w:rsidP="00BA744A">
            <w:pPr>
              <w:rPr>
                <w:noProof/>
                <w:lang w:eastAsia="en-GB"/>
              </w:rPr>
            </w:pPr>
          </w:p>
        </w:tc>
        <w:tc>
          <w:tcPr>
            <w:tcW w:w="4913" w:type="dxa"/>
          </w:tcPr>
          <w:p w:rsidR="001816CD" w:rsidRDefault="007F66B7" w:rsidP="00BA744A">
            <w:pPr>
              <w:rPr>
                <w:noProof/>
                <w:lang w:eastAsia="en-GB"/>
              </w:rPr>
            </w:pPr>
            <w:r>
              <w:rPr>
                <w:noProof/>
                <w:lang w:eastAsia="en-GB"/>
              </w:rPr>
              <w:drawing>
                <wp:inline distT="0" distB="0" distL="0" distR="0" wp14:anchorId="2B09B548" wp14:editId="2E7C56D6">
                  <wp:extent cx="2933700" cy="2571750"/>
                  <wp:effectExtent l="0" t="0" r="19050" b="1905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7F66B7" w:rsidTr="007F66B7">
        <w:tc>
          <w:tcPr>
            <w:tcW w:w="4941" w:type="dxa"/>
          </w:tcPr>
          <w:p w:rsidR="007F66B7" w:rsidRDefault="007F66B7" w:rsidP="00BA744A">
            <w:pPr>
              <w:rPr>
                <w:noProof/>
                <w:lang w:eastAsia="en-GB"/>
              </w:rPr>
            </w:pPr>
            <w:r>
              <w:rPr>
                <w:noProof/>
                <w:lang w:eastAsia="en-GB"/>
              </w:rPr>
              <w:drawing>
                <wp:inline distT="0" distB="0" distL="0" distR="0" wp14:anchorId="43265B24" wp14:editId="318353C3">
                  <wp:extent cx="3043238" cy="2600325"/>
                  <wp:effectExtent l="0" t="0" r="24130" b="952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913" w:type="dxa"/>
          </w:tcPr>
          <w:p w:rsidR="007F66B7" w:rsidRDefault="007F66B7" w:rsidP="00BA744A">
            <w:pPr>
              <w:rPr>
                <w:noProof/>
                <w:lang w:eastAsia="en-GB"/>
              </w:rPr>
            </w:pPr>
            <w:r>
              <w:rPr>
                <w:noProof/>
                <w:lang w:eastAsia="en-GB"/>
              </w:rPr>
              <w:drawing>
                <wp:inline distT="0" distB="0" distL="0" distR="0" wp14:anchorId="163137F5" wp14:editId="793C7CDB">
                  <wp:extent cx="2933700" cy="2600325"/>
                  <wp:effectExtent l="0" t="0" r="19050" b="952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67371F" w:rsidRDefault="007F66B7" w:rsidP="00BA744A">
      <w:pPr>
        <w:rPr>
          <w:rFonts w:ascii="Arial" w:hAnsi="Arial" w:cs="Arial"/>
        </w:rPr>
      </w:pPr>
      <w:r>
        <w:rPr>
          <w:rFonts w:ascii="Arial" w:hAnsi="Arial" w:cs="Arial"/>
        </w:rPr>
        <w:t xml:space="preserve">Across all staff groups there is </w:t>
      </w:r>
      <w:r w:rsidR="0067371F">
        <w:rPr>
          <w:rFonts w:ascii="Arial" w:hAnsi="Arial" w:cs="Arial"/>
        </w:rPr>
        <w:t>a disparity between BME applica</w:t>
      </w:r>
      <w:r>
        <w:rPr>
          <w:rFonts w:ascii="Arial" w:hAnsi="Arial" w:cs="Arial"/>
        </w:rPr>
        <w:t>t</w:t>
      </w:r>
      <w:r w:rsidR="0067371F">
        <w:rPr>
          <w:rFonts w:ascii="Arial" w:hAnsi="Arial" w:cs="Arial"/>
        </w:rPr>
        <w:t xml:space="preserve">ions and </w:t>
      </w:r>
      <w:r w:rsidR="00453041">
        <w:rPr>
          <w:rFonts w:ascii="Arial" w:hAnsi="Arial" w:cs="Arial"/>
        </w:rPr>
        <w:t>those shortlisted for interview or appointed.</w:t>
      </w:r>
    </w:p>
    <w:p w:rsidR="00BA744A" w:rsidRDefault="001816CD" w:rsidP="00BA744A">
      <w:pPr>
        <w:rPr>
          <w:rFonts w:ascii="Arial" w:hAnsi="Arial" w:cs="Arial"/>
        </w:rPr>
      </w:pPr>
      <w:r>
        <w:rPr>
          <w:rFonts w:ascii="Arial" w:hAnsi="Arial" w:cs="Arial"/>
        </w:rPr>
        <w:t xml:space="preserve">A further action agreed as part of the WRES is that </w:t>
      </w:r>
      <w:r w:rsidR="00BA744A">
        <w:rPr>
          <w:rFonts w:ascii="Arial" w:hAnsi="Arial" w:cs="Arial"/>
        </w:rPr>
        <w:t>r</w:t>
      </w:r>
      <w:r w:rsidR="00BA744A" w:rsidRPr="00BA744A">
        <w:rPr>
          <w:rFonts w:ascii="Arial" w:hAnsi="Arial" w:cs="Arial"/>
        </w:rPr>
        <w:t xml:space="preserve">ecruitment and selection training for panellists </w:t>
      </w:r>
      <w:r w:rsidR="00BA744A">
        <w:rPr>
          <w:rFonts w:ascii="Arial" w:hAnsi="Arial" w:cs="Arial"/>
        </w:rPr>
        <w:t xml:space="preserve">is </w:t>
      </w:r>
      <w:r w:rsidR="00BA744A" w:rsidRPr="00BA744A">
        <w:rPr>
          <w:rFonts w:ascii="Arial" w:hAnsi="Arial" w:cs="Arial"/>
        </w:rPr>
        <w:t>reviewed</w:t>
      </w:r>
      <w:r w:rsidR="00BA744A">
        <w:rPr>
          <w:rFonts w:ascii="Arial" w:hAnsi="Arial" w:cs="Arial"/>
        </w:rPr>
        <w:t xml:space="preserve"> and recommendations presented to Workforce Committee.</w:t>
      </w:r>
    </w:p>
    <w:p w:rsidR="00726363" w:rsidRDefault="00726363" w:rsidP="00AD71A2">
      <w:pPr>
        <w:rPr>
          <w:rFonts w:ascii="Arial" w:hAnsi="Arial" w:cs="Arial"/>
          <w:b/>
        </w:rPr>
      </w:pPr>
    </w:p>
    <w:p w:rsidR="005C56A5" w:rsidRDefault="005C56A5" w:rsidP="00AD71A2">
      <w:pPr>
        <w:rPr>
          <w:rFonts w:ascii="Arial" w:hAnsi="Arial" w:cs="Arial"/>
          <w:b/>
        </w:rPr>
      </w:pPr>
    </w:p>
    <w:p w:rsidR="005C56A5" w:rsidRDefault="005C56A5" w:rsidP="00AD71A2">
      <w:pPr>
        <w:rPr>
          <w:rFonts w:ascii="Arial" w:hAnsi="Arial" w:cs="Arial"/>
          <w:b/>
        </w:rPr>
      </w:pPr>
    </w:p>
    <w:p w:rsidR="005C56A5" w:rsidRDefault="005C56A5" w:rsidP="00AD71A2">
      <w:pPr>
        <w:rPr>
          <w:rFonts w:ascii="Arial" w:hAnsi="Arial" w:cs="Arial"/>
          <w:b/>
        </w:rPr>
      </w:pPr>
    </w:p>
    <w:p w:rsidR="005C56A5" w:rsidRDefault="005C56A5" w:rsidP="00AD71A2">
      <w:pPr>
        <w:rPr>
          <w:rFonts w:ascii="Arial" w:hAnsi="Arial" w:cs="Arial"/>
          <w:b/>
        </w:rPr>
      </w:pPr>
    </w:p>
    <w:p w:rsidR="00712AE7" w:rsidRPr="00CD4AA4" w:rsidRDefault="00712AE7" w:rsidP="00AD71A2">
      <w:pPr>
        <w:rPr>
          <w:rFonts w:ascii="Arial" w:hAnsi="Arial" w:cs="Arial"/>
          <w:b/>
        </w:rPr>
      </w:pPr>
      <w:r w:rsidRPr="00CD4AA4">
        <w:rPr>
          <w:rFonts w:ascii="Arial" w:hAnsi="Arial" w:cs="Arial"/>
          <w:b/>
        </w:rPr>
        <w:lastRenderedPageBreak/>
        <w:t>2.3</w:t>
      </w:r>
      <w:r w:rsidRPr="00CD4AA4">
        <w:rPr>
          <w:rFonts w:ascii="Arial" w:hAnsi="Arial" w:cs="Arial"/>
          <w:b/>
        </w:rPr>
        <w:tab/>
        <w:t>Pay Band by Ethnicity</w:t>
      </w:r>
    </w:p>
    <w:p w:rsidR="002466FF" w:rsidRDefault="002466FF" w:rsidP="00DD45B4">
      <w:pPr>
        <w:jc w:val="center"/>
        <w:rPr>
          <w:rFonts w:ascii="Arial" w:hAnsi="Arial" w:cs="Arial"/>
        </w:rPr>
      </w:pPr>
      <w:r>
        <w:rPr>
          <w:noProof/>
          <w:lang w:eastAsia="en-GB"/>
        </w:rPr>
        <w:drawing>
          <wp:inline distT="0" distB="0" distL="0" distR="0" wp14:anchorId="615E9F5D" wp14:editId="40D3EEDB">
            <wp:extent cx="5467350" cy="3181350"/>
            <wp:effectExtent l="0" t="0" r="19050" b="1905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466FF" w:rsidRDefault="00712AE7" w:rsidP="00EF2EFB">
      <w:pPr>
        <w:rPr>
          <w:rFonts w:ascii="Arial" w:hAnsi="Arial" w:cs="Arial"/>
        </w:rPr>
      </w:pPr>
      <w:r w:rsidRPr="00CD4AA4">
        <w:rPr>
          <w:rFonts w:ascii="Arial" w:hAnsi="Arial" w:cs="Arial"/>
        </w:rPr>
        <w:t xml:space="preserve">Graph </w:t>
      </w:r>
      <w:r w:rsidR="007C5706">
        <w:rPr>
          <w:rFonts w:ascii="Arial" w:hAnsi="Arial" w:cs="Arial"/>
        </w:rPr>
        <w:t>12</w:t>
      </w:r>
      <w:r w:rsidRPr="00CD4AA4">
        <w:rPr>
          <w:rFonts w:ascii="Arial" w:hAnsi="Arial" w:cs="Arial"/>
        </w:rPr>
        <w:t xml:space="preserve"> shows the percentage of BME staff by pay band.  BME staff are over represented at Band 5 and throughout the Medical grades when compared to the average employment rate of </w:t>
      </w:r>
      <w:r w:rsidR="000E5F0B">
        <w:rPr>
          <w:rFonts w:ascii="Arial" w:hAnsi="Arial" w:cs="Arial"/>
        </w:rPr>
        <w:t>BME staff.</w:t>
      </w:r>
      <w:r w:rsidR="00EF2EFB">
        <w:rPr>
          <w:rFonts w:ascii="Arial" w:hAnsi="Arial" w:cs="Arial"/>
        </w:rPr>
        <w:t xml:space="preserve"> </w:t>
      </w:r>
      <w:r w:rsidR="000E5F0B">
        <w:rPr>
          <w:rFonts w:ascii="Arial" w:hAnsi="Arial" w:cs="Arial"/>
        </w:rPr>
        <w:t xml:space="preserve"> </w:t>
      </w:r>
      <w:r w:rsidR="00EF2EFB" w:rsidRPr="00CD4AA4">
        <w:rPr>
          <w:rFonts w:ascii="Arial" w:hAnsi="Arial" w:cs="Arial"/>
        </w:rPr>
        <w:t>For all other pay bands BME staff are under–represented.</w:t>
      </w:r>
    </w:p>
    <w:p w:rsidR="00EF2EFB" w:rsidRDefault="00EF2EFB" w:rsidP="00EF2EFB">
      <w:pPr>
        <w:rPr>
          <w:rFonts w:ascii="Arial" w:hAnsi="Arial" w:cs="Arial"/>
        </w:rPr>
      </w:pPr>
      <w:r w:rsidRPr="00CD4AA4">
        <w:rPr>
          <w:rFonts w:ascii="Arial" w:hAnsi="Arial" w:cs="Arial"/>
        </w:rPr>
        <w:t xml:space="preserve">Reviewing promotions during the period </w:t>
      </w:r>
      <w:r w:rsidR="002466FF">
        <w:rPr>
          <w:rFonts w:ascii="Arial" w:hAnsi="Arial" w:cs="Arial"/>
        </w:rPr>
        <w:t>April 2015 – September 2015</w:t>
      </w:r>
      <w:r w:rsidRPr="00CD4AA4">
        <w:rPr>
          <w:rFonts w:ascii="Arial" w:hAnsi="Arial" w:cs="Arial"/>
        </w:rPr>
        <w:t xml:space="preserve">, approximately </w:t>
      </w:r>
      <w:r w:rsidR="002466FF">
        <w:rPr>
          <w:rFonts w:ascii="Arial" w:hAnsi="Arial" w:cs="Arial"/>
        </w:rPr>
        <w:t>23</w:t>
      </w:r>
      <w:r w:rsidRPr="00CD4AA4">
        <w:rPr>
          <w:rFonts w:ascii="Arial" w:hAnsi="Arial" w:cs="Arial"/>
        </w:rPr>
        <w:t>% of promotions were to staff from BME groups, a</w:t>
      </w:r>
      <w:r w:rsidR="002466FF">
        <w:rPr>
          <w:rFonts w:ascii="Arial" w:hAnsi="Arial" w:cs="Arial"/>
        </w:rPr>
        <w:t xml:space="preserve">n increase from the </w:t>
      </w:r>
      <w:r w:rsidRPr="00CD4AA4">
        <w:rPr>
          <w:rFonts w:ascii="Arial" w:hAnsi="Arial" w:cs="Arial"/>
        </w:rPr>
        <w:t xml:space="preserve">last report where </w:t>
      </w:r>
      <w:r w:rsidR="002466FF">
        <w:rPr>
          <w:rFonts w:ascii="Arial" w:hAnsi="Arial" w:cs="Arial"/>
        </w:rPr>
        <w:t xml:space="preserve">17% </w:t>
      </w:r>
      <w:r w:rsidRPr="00CD4AA4">
        <w:rPr>
          <w:rFonts w:ascii="Arial" w:hAnsi="Arial" w:cs="Arial"/>
        </w:rPr>
        <w:t>of promotions were to staff from BME groups.</w:t>
      </w:r>
    </w:p>
    <w:p w:rsidR="00DD45B4" w:rsidRDefault="00DD45B4">
      <w:pPr>
        <w:spacing w:after="0" w:line="240" w:lineRule="auto"/>
        <w:rPr>
          <w:rFonts w:ascii="Arial" w:hAnsi="Arial" w:cs="Arial"/>
        </w:rPr>
      </w:pPr>
      <w:r>
        <w:rPr>
          <w:rFonts w:ascii="Arial" w:hAnsi="Arial" w:cs="Arial"/>
        </w:rPr>
        <w:br w:type="page"/>
      </w:r>
    </w:p>
    <w:p w:rsidR="00712AE7" w:rsidRPr="00CD4AA4" w:rsidRDefault="00712AE7" w:rsidP="000D329A">
      <w:pPr>
        <w:rPr>
          <w:rFonts w:ascii="Arial" w:hAnsi="Arial" w:cs="Arial"/>
          <w:b/>
        </w:rPr>
      </w:pPr>
      <w:r w:rsidRPr="00CD4AA4">
        <w:rPr>
          <w:rFonts w:cs="Arial"/>
          <w:b/>
        </w:rPr>
        <w:lastRenderedPageBreak/>
        <w:t>2.4</w:t>
      </w:r>
      <w:r w:rsidRPr="00CD4AA4">
        <w:rPr>
          <w:rFonts w:cs="Arial"/>
          <w:b/>
        </w:rPr>
        <w:tab/>
      </w:r>
      <w:r w:rsidRPr="00CD4AA4">
        <w:rPr>
          <w:rFonts w:ascii="Arial" w:hAnsi="Arial" w:cs="Arial"/>
          <w:b/>
        </w:rPr>
        <w:t>Leavers</w:t>
      </w:r>
    </w:p>
    <w:p w:rsidR="00DD45B4" w:rsidRDefault="009A2D8D" w:rsidP="00DD45B4">
      <w:pPr>
        <w:rPr>
          <w:rFonts w:ascii="Arial" w:hAnsi="Arial" w:cs="Arial"/>
        </w:rPr>
      </w:pPr>
      <w:r w:rsidRPr="00660BE3">
        <w:rPr>
          <w:rFonts w:ascii="Arial" w:hAnsi="Arial" w:cs="Arial"/>
        </w:rPr>
        <w:t xml:space="preserve">Leavers for </w:t>
      </w:r>
      <w:r w:rsidR="002466FF">
        <w:rPr>
          <w:rFonts w:ascii="Arial" w:hAnsi="Arial" w:cs="Arial"/>
        </w:rPr>
        <w:t xml:space="preserve">the period </w:t>
      </w:r>
      <w:r w:rsidR="00E106ED">
        <w:rPr>
          <w:rFonts w:ascii="Arial" w:hAnsi="Arial" w:cs="Arial"/>
        </w:rPr>
        <w:t xml:space="preserve">October 2014 – September 2015 </w:t>
      </w:r>
      <w:r w:rsidRPr="00660BE3">
        <w:rPr>
          <w:rFonts w:ascii="Arial" w:hAnsi="Arial" w:cs="Arial"/>
        </w:rPr>
        <w:t xml:space="preserve">were analysed.  </w:t>
      </w:r>
      <w:r w:rsidR="008B4895">
        <w:rPr>
          <w:rFonts w:ascii="Arial" w:hAnsi="Arial" w:cs="Arial"/>
        </w:rPr>
        <w:t xml:space="preserve">Graph </w:t>
      </w:r>
      <w:r w:rsidR="007C5706">
        <w:rPr>
          <w:rFonts w:ascii="Arial" w:hAnsi="Arial" w:cs="Arial"/>
        </w:rPr>
        <w:t>13</w:t>
      </w:r>
      <w:r w:rsidR="008B4895">
        <w:rPr>
          <w:rFonts w:ascii="Arial" w:hAnsi="Arial" w:cs="Arial"/>
        </w:rPr>
        <w:t xml:space="preserve"> shows that </w:t>
      </w:r>
      <w:r w:rsidR="002466FF">
        <w:rPr>
          <w:rFonts w:ascii="Arial" w:hAnsi="Arial" w:cs="Arial"/>
        </w:rPr>
        <w:t>24</w:t>
      </w:r>
      <w:r w:rsidR="00712AE7" w:rsidRPr="00CD4AA4">
        <w:rPr>
          <w:rFonts w:ascii="Arial" w:hAnsi="Arial" w:cs="Arial"/>
        </w:rPr>
        <w:t xml:space="preserve">% of all leavers were from BME groups. </w:t>
      </w:r>
      <w:r w:rsidR="00660BE3">
        <w:rPr>
          <w:rFonts w:ascii="Arial" w:hAnsi="Arial" w:cs="Arial"/>
        </w:rPr>
        <w:t xml:space="preserve">This is </w:t>
      </w:r>
      <w:r w:rsidR="00DB0B79">
        <w:rPr>
          <w:rFonts w:ascii="Arial" w:hAnsi="Arial" w:cs="Arial"/>
        </w:rPr>
        <w:t xml:space="preserve">lower than the proportion of BME staff within the workforce.  This represents a </w:t>
      </w:r>
      <w:r w:rsidR="002466FF">
        <w:rPr>
          <w:rFonts w:ascii="Arial" w:hAnsi="Arial" w:cs="Arial"/>
        </w:rPr>
        <w:t xml:space="preserve">decrease of </w:t>
      </w:r>
      <w:r w:rsidR="00F87593" w:rsidRPr="002466FF">
        <w:rPr>
          <w:rFonts w:ascii="Arial" w:hAnsi="Arial" w:cs="Arial"/>
        </w:rPr>
        <w:t>12</w:t>
      </w:r>
      <w:r w:rsidR="00F87593">
        <w:rPr>
          <w:rFonts w:ascii="Arial" w:hAnsi="Arial" w:cs="Arial"/>
        </w:rPr>
        <w:t xml:space="preserve">% </w:t>
      </w:r>
      <w:r w:rsidR="00DB0B79">
        <w:rPr>
          <w:rFonts w:ascii="Arial" w:hAnsi="Arial" w:cs="Arial"/>
        </w:rPr>
        <w:t xml:space="preserve">from 2014, bringing the trend in line with prior </w:t>
      </w:r>
      <w:r w:rsidR="00DD45B4">
        <w:rPr>
          <w:rFonts w:ascii="Arial" w:hAnsi="Arial" w:cs="Arial"/>
        </w:rPr>
        <w:t>years.</w:t>
      </w:r>
    </w:p>
    <w:p w:rsidR="00DD45B4" w:rsidRDefault="00DD45B4" w:rsidP="00DD45B4">
      <w:pPr>
        <w:rPr>
          <w:rFonts w:ascii="Arial" w:hAnsi="Arial" w:cs="Arial"/>
        </w:rPr>
      </w:pPr>
    </w:p>
    <w:p w:rsidR="00DF5C7E" w:rsidRDefault="00DB0B79" w:rsidP="00DD45B4">
      <w:pPr>
        <w:jc w:val="center"/>
        <w:rPr>
          <w:noProof/>
          <w:lang w:eastAsia="en-GB"/>
        </w:rPr>
      </w:pPr>
      <w:r>
        <w:rPr>
          <w:rFonts w:ascii="Arial" w:hAnsi="Arial" w:cs="Arial"/>
        </w:rPr>
        <w:t>.</w:t>
      </w:r>
      <w:r w:rsidR="002466FF">
        <w:rPr>
          <w:noProof/>
          <w:lang w:eastAsia="en-GB"/>
        </w:rPr>
        <w:drawing>
          <wp:inline distT="0" distB="0" distL="0" distR="0" wp14:anchorId="2ABF79F8" wp14:editId="0EB6D93E">
            <wp:extent cx="2971800" cy="2524125"/>
            <wp:effectExtent l="0" t="0" r="19050" b="952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D17D0" w:rsidRDefault="003D17D0" w:rsidP="000D329A">
      <w:pPr>
        <w:rPr>
          <w:noProof/>
          <w:lang w:eastAsia="en-GB"/>
        </w:rPr>
      </w:pPr>
    </w:p>
    <w:p w:rsidR="00712AE7" w:rsidRDefault="00712AE7" w:rsidP="000D329A">
      <w:pPr>
        <w:rPr>
          <w:rFonts w:ascii="Arial" w:hAnsi="Arial" w:cs="Arial"/>
          <w:b/>
        </w:rPr>
      </w:pPr>
      <w:r w:rsidRPr="00CD4AA4">
        <w:rPr>
          <w:rFonts w:ascii="Arial" w:hAnsi="Arial" w:cs="Arial"/>
          <w:b/>
        </w:rPr>
        <w:t>2.5</w:t>
      </w:r>
      <w:r w:rsidRPr="00CD4AA4">
        <w:rPr>
          <w:rFonts w:ascii="Arial" w:hAnsi="Arial" w:cs="Arial"/>
          <w:b/>
        </w:rPr>
        <w:tab/>
        <w:t>Appraisals</w:t>
      </w:r>
    </w:p>
    <w:p w:rsidR="00DD45B4" w:rsidRPr="00DD45B4" w:rsidRDefault="00DD45B4" w:rsidP="000D329A">
      <w:pPr>
        <w:rPr>
          <w:rFonts w:ascii="Arial" w:hAnsi="Arial" w:cs="Arial"/>
        </w:rPr>
      </w:pPr>
      <w:r w:rsidRPr="00DD45B4">
        <w:rPr>
          <w:rFonts w:ascii="Arial" w:hAnsi="Arial" w:cs="Arial"/>
        </w:rPr>
        <w:t>The proportion of White and BME staff having an appraisal is more or less the same at 66.86% and 66.20% respectively.</w:t>
      </w:r>
    </w:p>
    <w:p w:rsidR="003F5646" w:rsidRDefault="00712AE7" w:rsidP="003F5646">
      <w:pPr>
        <w:spacing w:line="240" w:lineRule="auto"/>
        <w:rPr>
          <w:rFonts w:ascii="Arial" w:hAnsi="Arial" w:cs="Arial"/>
          <w:b/>
        </w:rPr>
      </w:pPr>
      <w:r w:rsidRPr="00CD4AA4">
        <w:rPr>
          <w:rFonts w:ascii="Arial" w:hAnsi="Arial" w:cs="Arial"/>
          <w:b/>
        </w:rPr>
        <w:t>Clinical Excellence Awards</w:t>
      </w:r>
      <w:r w:rsidR="00E106ED">
        <w:rPr>
          <w:rFonts w:ascii="Arial" w:hAnsi="Arial" w:cs="Arial"/>
          <w:b/>
        </w:rPr>
        <w:t xml:space="preserve"> </w:t>
      </w:r>
    </w:p>
    <w:p w:rsidR="008265CC" w:rsidRPr="00CD4AA4" w:rsidRDefault="00712AE7" w:rsidP="003F5646">
      <w:pPr>
        <w:spacing w:line="240" w:lineRule="auto"/>
        <w:rPr>
          <w:rFonts w:ascii="Arial" w:hAnsi="Arial" w:cs="Arial"/>
        </w:rPr>
      </w:pPr>
      <w:r w:rsidRPr="00CD4AA4">
        <w:rPr>
          <w:rFonts w:ascii="Arial" w:hAnsi="Arial" w:cs="Arial"/>
        </w:rPr>
        <w:t>At present, only doctors receive an element of pay based on assessed performance and this relates to Clinical Excellence Awards, Optional Points and Discretionary Points.  For 201</w:t>
      </w:r>
      <w:r w:rsidR="005661F9">
        <w:rPr>
          <w:rFonts w:ascii="Arial" w:hAnsi="Arial" w:cs="Arial"/>
        </w:rPr>
        <w:t>5</w:t>
      </w:r>
      <w:r w:rsidRPr="00CD4AA4">
        <w:rPr>
          <w:rFonts w:ascii="Arial" w:hAnsi="Arial" w:cs="Arial"/>
        </w:rPr>
        <w:t xml:space="preserve"> some </w:t>
      </w:r>
      <w:r w:rsidR="006121B4">
        <w:rPr>
          <w:rFonts w:ascii="Arial" w:hAnsi="Arial" w:cs="Arial"/>
        </w:rPr>
        <w:t>41</w:t>
      </w:r>
      <w:r w:rsidRPr="00CD4AA4">
        <w:rPr>
          <w:rFonts w:ascii="Arial" w:hAnsi="Arial" w:cs="Arial"/>
        </w:rPr>
        <w:t xml:space="preserve">% of staff eligible for these awards were from a BME background and </w:t>
      </w:r>
      <w:r w:rsidR="006121B4">
        <w:rPr>
          <w:rFonts w:ascii="Arial" w:hAnsi="Arial" w:cs="Arial"/>
        </w:rPr>
        <w:t>56</w:t>
      </w:r>
      <w:r w:rsidRPr="00CD4AA4">
        <w:rPr>
          <w:rFonts w:ascii="Arial" w:hAnsi="Arial" w:cs="Arial"/>
        </w:rPr>
        <w:t>% of these awards were granted to BME staff, a</w:t>
      </w:r>
      <w:r w:rsidR="006121B4">
        <w:rPr>
          <w:rFonts w:ascii="Arial" w:hAnsi="Arial" w:cs="Arial"/>
        </w:rPr>
        <w:t>n</w:t>
      </w:r>
      <w:r w:rsidRPr="00CD4AA4">
        <w:rPr>
          <w:rFonts w:ascii="Arial" w:hAnsi="Arial" w:cs="Arial"/>
        </w:rPr>
        <w:t xml:space="preserve"> increase on last year.  </w:t>
      </w:r>
    </w:p>
    <w:p w:rsidR="00DD45B4" w:rsidRDefault="00DD45B4">
      <w:pPr>
        <w:spacing w:after="0" w:line="240" w:lineRule="auto"/>
        <w:rPr>
          <w:rFonts w:ascii="Arial" w:hAnsi="Arial" w:cs="Arial"/>
          <w:b/>
        </w:rPr>
      </w:pPr>
      <w:r>
        <w:rPr>
          <w:rFonts w:ascii="Arial" w:hAnsi="Arial" w:cs="Arial"/>
          <w:b/>
        </w:rPr>
        <w:br w:type="page"/>
      </w:r>
    </w:p>
    <w:p w:rsidR="00712AE7" w:rsidRDefault="00712AE7" w:rsidP="000D329A">
      <w:pPr>
        <w:rPr>
          <w:rFonts w:ascii="Arial" w:hAnsi="Arial" w:cs="Arial"/>
          <w:b/>
        </w:rPr>
      </w:pPr>
      <w:r w:rsidRPr="003F5646">
        <w:rPr>
          <w:rFonts w:ascii="Arial" w:hAnsi="Arial" w:cs="Arial"/>
          <w:b/>
        </w:rPr>
        <w:lastRenderedPageBreak/>
        <w:t>2.6</w:t>
      </w:r>
      <w:r w:rsidRPr="003F5646">
        <w:rPr>
          <w:rFonts w:ascii="Arial" w:hAnsi="Arial" w:cs="Arial"/>
          <w:b/>
        </w:rPr>
        <w:tab/>
        <w:t>Employee Relations Indicators</w:t>
      </w:r>
    </w:p>
    <w:p w:rsidR="003F5646" w:rsidRDefault="00B25595" w:rsidP="000D329A">
      <w:pPr>
        <w:rPr>
          <w:noProof/>
          <w:lang w:eastAsia="en-GB"/>
        </w:rPr>
      </w:pPr>
      <w:r>
        <w:rPr>
          <w:noProof/>
          <w:lang w:eastAsia="en-GB"/>
        </w:rPr>
        <w:drawing>
          <wp:inline distT="0" distB="0" distL="0" distR="0" wp14:anchorId="40DE5D04" wp14:editId="68449253">
            <wp:extent cx="6143625" cy="32480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6640" w:type="dxa"/>
        <w:jc w:val="center"/>
        <w:tblInd w:w="93" w:type="dxa"/>
        <w:tblLook w:val="04A0" w:firstRow="1" w:lastRow="0" w:firstColumn="1" w:lastColumn="0" w:noHBand="0" w:noVBand="1"/>
      </w:tblPr>
      <w:tblGrid>
        <w:gridCol w:w="2620"/>
        <w:gridCol w:w="1340"/>
        <w:gridCol w:w="1340"/>
        <w:gridCol w:w="1340"/>
      </w:tblGrid>
      <w:tr w:rsidR="00B25595" w:rsidRPr="00B25595" w:rsidTr="00B25595">
        <w:trPr>
          <w:trHeight w:val="30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595" w:rsidRPr="00B25595" w:rsidRDefault="00B25595" w:rsidP="00B25595">
            <w:pPr>
              <w:spacing w:after="0" w:line="240" w:lineRule="auto"/>
              <w:rPr>
                <w:rFonts w:eastAsia="Times New Roman"/>
                <w:color w:val="000000"/>
                <w:lang w:eastAsia="en-GB"/>
              </w:rPr>
            </w:pPr>
            <w:r w:rsidRPr="00B25595">
              <w:rPr>
                <w:rFonts w:eastAsia="Times New Roman"/>
                <w:color w:val="000000"/>
                <w:lang w:eastAsia="en-GB"/>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B25595" w:rsidRPr="00B25595" w:rsidRDefault="00B25595" w:rsidP="00B25595">
            <w:pPr>
              <w:spacing w:after="0" w:line="240" w:lineRule="auto"/>
              <w:jc w:val="right"/>
              <w:rPr>
                <w:rFonts w:eastAsia="Times New Roman"/>
                <w:b/>
                <w:color w:val="000000"/>
                <w:lang w:eastAsia="en-GB"/>
              </w:rPr>
            </w:pPr>
            <w:r w:rsidRPr="00B25595">
              <w:rPr>
                <w:rFonts w:eastAsia="Times New Roman"/>
                <w:b/>
                <w:color w:val="000000"/>
                <w:lang w:eastAsia="en-GB"/>
              </w:rPr>
              <w:t>BME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B25595" w:rsidRPr="00B25595" w:rsidRDefault="00B25595" w:rsidP="00B25595">
            <w:pPr>
              <w:spacing w:after="0" w:line="240" w:lineRule="auto"/>
              <w:jc w:val="right"/>
              <w:rPr>
                <w:rFonts w:eastAsia="Times New Roman"/>
                <w:b/>
                <w:color w:val="000000"/>
                <w:lang w:eastAsia="en-GB"/>
              </w:rPr>
            </w:pPr>
            <w:r w:rsidRPr="00B25595">
              <w:rPr>
                <w:rFonts w:eastAsia="Times New Roman"/>
                <w:b/>
                <w:color w:val="000000"/>
                <w:lang w:eastAsia="en-GB"/>
              </w:rPr>
              <w:t>White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B25595" w:rsidRPr="00B25595" w:rsidRDefault="00B25595" w:rsidP="00B25595">
            <w:pPr>
              <w:spacing w:after="0" w:line="240" w:lineRule="auto"/>
              <w:jc w:val="right"/>
              <w:rPr>
                <w:rFonts w:eastAsia="Times New Roman"/>
                <w:b/>
                <w:color w:val="000000"/>
                <w:lang w:eastAsia="en-GB"/>
              </w:rPr>
            </w:pPr>
            <w:r w:rsidRPr="00B25595">
              <w:rPr>
                <w:rFonts w:eastAsia="Times New Roman"/>
                <w:b/>
                <w:color w:val="000000"/>
                <w:lang w:eastAsia="en-GB"/>
              </w:rPr>
              <w:t>Total</w:t>
            </w:r>
          </w:p>
        </w:tc>
      </w:tr>
      <w:tr w:rsidR="00B25595" w:rsidRPr="00B25595" w:rsidTr="00B25595">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B25595" w:rsidRPr="00B25595" w:rsidRDefault="00B25595" w:rsidP="00B25595">
            <w:pPr>
              <w:spacing w:after="0" w:line="240" w:lineRule="auto"/>
              <w:rPr>
                <w:rFonts w:eastAsia="Times New Roman"/>
                <w:color w:val="000000"/>
                <w:lang w:eastAsia="en-GB"/>
              </w:rPr>
            </w:pPr>
            <w:r w:rsidRPr="00B25595">
              <w:rPr>
                <w:rFonts w:eastAsia="Times New Roman"/>
                <w:color w:val="000000"/>
                <w:lang w:eastAsia="en-GB"/>
              </w:rPr>
              <w:t>Disciplinary</w:t>
            </w:r>
          </w:p>
        </w:tc>
        <w:tc>
          <w:tcPr>
            <w:tcW w:w="1340" w:type="dxa"/>
            <w:tcBorders>
              <w:top w:val="nil"/>
              <w:left w:val="nil"/>
              <w:bottom w:val="single" w:sz="4" w:space="0" w:color="auto"/>
              <w:right w:val="single" w:sz="4" w:space="0" w:color="auto"/>
            </w:tcBorders>
            <w:shd w:val="clear" w:color="auto" w:fill="auto"/>
            <w:noWrap/>
            <w:vAlign w:val="bottom"/>
            <w:hideMark/>
          </w:tcPr>
          <w:p w:rsidR="00B25595" w:rsidRPr="00B25595" w:rsidRDefault="00B25595" w:rsidP="00B25595">
            <w:pPr>
              <w:spacing w:after="0" w:line="240" w:lineRule="auto"/>
              <w:jc w:val="right"/>
              <w:rPr>
                <w:rFonts w:eastAsia="Times New Roman"/>
                <w:color w:val="000000"/>
                <w:lang w:eastAsia="en-GB"/>
              </w:rPr>
            </w:pPr>
            <w:r w:rsidRPr="00B25595">
              <w:rPr>
                <w:rFonts w:eastAsia="Times New Roman"/>
                <w:color w:val="000000"/>
                <w:lang w:eastAsia="en-GB"/>
              </w:rPr>
              <w:t>41</w:t>
            </w:r>
          </w:p>
        </w:tc>
        <w:tc>
          <w:tcPr>
            <w:tcW w:w="1340" w:type="dxa"/>
            <w:tcBorders>
              <w:top w:val="nil"/>
              <w:left w:val="nil"/>
              <w:bottom w:val="single" w:sz="4" w:space="0" w:color="auto"/>
              <w:right w:val="single" w:sz="4" w:space="0" w:color="auto"/>
            </w:tcBorders>
            <w:shd w:val="clear" w:color="auto" w:fill="auto"/>
            <w:noWrap/>
            <w:vAlign w:val="bottom"/>
            <w:hideMark/>
          </w:tcPr>
          <w:p w:rsidR="00B25595" w:rsidRPr="00B25595" w:rsidRDefault="00B25595" w:rsidP="00B25595">
            <w:pPr>
              <w:spacing w:after="0" w:line="240" w:lineRule="auto"/>
              <w:jc w:val="right"/>
              <w:rPr>
                <w:rFonts w:eastAsia="Times New Roman"/>
                <w:color w:val="000000"/>
                <w:lang w:eastAsia="en-GB"/>
              </w:rPr>
            </w:pPr>
            <w:r w:rsidRPr="00B25595">
              <w:rPr>
                <w:rFonts w:eastAsia="Times New Roman"/>
                <w:color w:val="000000"/>
                <w:lang w:eastAsia="en-GB"/>
              </w:rPr>
              <w:t>84</w:t>
            </w:r>
          </w:p>
        </w:tc>
        <w:tc>
          <w:tcPr>
            <w:tcW w:w="1340" w:type="dxa"/>
            <w:tcBorders>
              <w:top w:val="nil"/>
              <w:left w:val="nil"/>
              <w:bottom w:val="single" w:sz="4" w:space="0" w:color="auto"/>
              <w:right w:val="single" w:sz="4" w:space="0" w:color="auto"/>
            </w:tcBorders>
            <w:shd w:val="clear" w:color="auto" w:fill="auto"/>
            <w:noWrap/>
            <w:vAlign w:val="bottom"/>
            <w:hideMark/>
          </w:tcPr>
          <w:p w:rsidR="00B25595" w:rsidRPr="00B25595" w:rsidRDefault="00B25595" w:rsidP="00B25595">
            <w:pPr>
              <w:spacing w:after="0" w:line="240" w:lineRule="auto"/>
              <w:jc w:val="right"/>
              <w:rPr>
                <w:rFonts w:eastAsia="Times New Roman"/>
                <w:color w:val="000000"/>
                <w:lang w:eastAsia="en-GB"/>
              </w:rPr>
            </w:pPr>
            <w:r w:rsidRPr="00B25595">
              <w:rPr>
                <w:rFonts w:eastAsia="Times New Roman"/>
                <w:color w:val="000000"/>
                <w:lang w:eastAsia="en-GB"/>
              </w:rPr>
              <w:t>125</w:t>
            </w:r>
          </w:p>
        </w:tc>
      </w:tr>
      <w:tr w:rsidR="00B25595" w:rsidRPr="00B25595" w:rsidTr="00B25595">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B25595" w:rsidRPr="00B25595" w:rsidRDefault="00B25595" w:rsidP="00B25595">
            <w:pPr>
              <w:spacing w:after="0" w:line="240" w:lineRule="auto"/>
              <w:rPr>
                <w:rFonts w:eastAsia="Times New Roman"/>
                <w:color w:val="000000"/>
                <w:lang w:eastAsia="en-GB"/>
              </w:rPr>
            </w:pPr>
            <w:r w:rsidRPr="00B25595">
              <w:rPr>
                <w:rFonts w:eastAsia="Times New Roman"/>
                <w:color w:val="000000"/>
                <w:lang w:eastAsia="en-GB"/>
              </w:rPr>
              <w:t>Grievance</w:t>
            </w:r>
          </w:p>
        </w:tc>
        <w:tc>
          <w:tcPr>
            <w:tcW w:w="1340" w:type="dxa"/>
            <w:tcBorders>
              <w:top w:val="nil"/>
              <w:left w:val="nil"/>
              <w:bottom w:val="single" w:sz="4" w:space="0" w:color="auto"/>
              <w:right w:val="single" w:sz="4" w:space="0" w:color="auto"/>
            </w:tcBorders>
            <w:shd w:val="clear" w:color="auto" w:fill="auto"/>
            <w:noWrap/>
            <w:vAlign w:val="bottom"/>
            <w:hideMark/>
          </w:tcPr>
          <w:p w:rsidR="00B25595" w:rsidRPr="00B25595" w:rsidRDefault="00B25595" w:rsidP="00B25595">
            <w:pPr>
              <w:spacing w:after="0" w:line="240" w:lineRule="auto"/>
              <w:jc w:val="right"/>
              <w:rPr>
                <w:rFonts w:eastAsia="Times New Roman"/>
                <w:color w:val="000000"/>
                <w:lang w:eastAsia="en-GB"/>
              </w:rPr>
            </w:pPr>
            <w:r w:rsidRPr="00B25595">
              <w:rPr>
                <w:rFonts w:eastAsia="Times New Roman"/>
                <w:color w:val="000000"/>
                <w:lang w:eastAsia="en-GB"/>
              </w:rPr>
              <w:t>6</w:t>
            </w:r>
          </w:p>
        </w:tc>
        <w:tc>
          <w:tcPr>
            <w:tcW w:w="1340" w:type="dxa"/>
            <w:tcBorders>
              <w:top w:val="nil"/>
              <w:left w:val="nil"/>
              <w:bottom w:val="single" w:sz="4" w:space="0" w:color="auto"/>
              <w:right w:val="single" w:sz="4" w:space="0" w:color="auto"/>
            </w:tcBorders>
            <w:shd w:val="clear" w:color="auto" w:fill="auto"/>
            <w:noWrap/>
            <w:vAlign w:val="bottom"/>
            <w:hideMark/>
          </w:tcPr>
          <w:p w:rsidR="00B25595" w:rsidRPr="00B25595" w:rsidRDefault="00B25595" w:rsidP="00B25595">
            <w:pPr>
              <w:spacing w:after="0" w:line="240" w:lineRule="auto"/>
              <w:jc w:val="right"/>
              <w:rPr>
                <w:rFonts w:eastAsia="Times New Roman"/>
                <w:color w:val="000000"/>
                <w:lang w:eastAsia="en-GB"/>
              </w:rPr>
            </w:pPr>
            <w:r w:rsidRPr="00B25595">
              <w:rPr>
                <w:rFonts w:eastAsia="Times New Roman"/>
                <w:color w:val="000000"/>
                <w:lang w:eastAsia="en-GB"/>
              </w:rPr>
              <w:t>10</w:t>
            </w:r>
          </w:p>
        </w:tc>
        <w:tc>
          <w:tcPr>
            <w:tcW w:w="1340" w:type="dxa"/>
            <w:tcBorders>
              <w:top w:val="nil"/>
              <w:left w:val="nil"/>
              <w:bottom w:val="single" w:sz="4" w:space="0" w:color="auto"/>
              <w:right w:val="single" w:sz="4" w:space="0" w:color="auto"/>
            </w:tcBorders>
            <w:shd w:val="clear" w:color="auto" w:fill="auto"/>
            <w:noWrap/>
            <w:vAlign w:val="bottom"/>
            <w:hideMark/>
          </w:tcPr>
          <w:p w:rsidR="00B25595" w:rsidRPr="00B25595" w:rsidRDefault="00B25595" w:rsidP="00B25595">
            <w:pPr>
              <w:spacing w:after="0" w:line="240" w:lineRule="auto"/>
              <w:jc w:val="right"/>
              <w:rPr>
                <w:rFonts w:eastAsia="Times New Roman"/>
                <w:color w:val="000000"/>
                <w:lang w:eastAsia="en-GB"/>
              </w:rPr>
            </w:pPr>
            <w:r w:rsidRPr="00B25595">
              <w:rPr>
                <w:rFonts w:eastAsia="Times New Roman"/>
                <w:color w:val="000000"/>
                <w:lang w:eastAsia="en-GB"/>
              </w:rPr>
              <w:t>16</w:t>
            </w:r>
          </w:p>
        </w:tc>
      </w:tr>
    </w:tbl>
    <w:p w:rsidR="00B25595" w:rsidRPr="00CD4AA4" w:rsidRDefault="00B25595" w:rsidP="000D329A">
      <w:pPr>
        <w:rPr>
          <w:rFonts w:ascii="Arial" w:hAnsi="Arial" w:cs="Arial"/>
        </w:rPr>
      </w:pPr>
    </w:p>
    <w:p w:rsidR="00B25595" w:rsidRDefault="00712AE7" w:rsidP="000D329A">
      <w:pPr>
        <w:rPr>
          <w:rFonts w:ascii="Arial" w:hAnsi="Arial" w:cs="Arial"/>
        </w:rPr>
      </w:pPr>
      <w:r w:rsidRPr="00CD4AA4">
        <w:rPr>
          <w:rFonts w:ascii="Arial" w:hAnsi="Arial" w:cs="Arial"/>
        </w:rPr>
        <w:t xml:space="preserve">Graph </w:t>
      </w:r>
      <w:r w:rsidR="007C5706">
        <w:rPr>
          <w:rFonts w:ascii="Arial" w:hAnsi="Arial" w:cs="Arial"/>
        </w:rPr>
        <w:t>14</w:t>
      </w:r>
      <w:r w:rsidRPr="00CD4AA4">
        <w:rPr>
          <w:rFonts w:ascii="Arial" w:hAnsi="Arial" w:cs="Arial"/>
        </w:rPr>
        <w:t xml:space="preserve"> shows the proportion of disciplinary and grievance cases by ethnicity. </w:t>
      </w:r>
      <w:r w:rsidR="003F5646">
        <w:rPr>
          <w:rFonts w:ascii="Arial" w:hAnsi="Arial" w:cs="Arial"/>
        </w:rPr>
        <w:t xml:space="preserve">Disciplinary cases are </w:t>
      </w:r>
      <w:r w:rsidR="00B25595">
        <w:rPr>
          <w:rFonts w:ascii="Arial" w:hAnsi="Arial" w:cs="Arial"/>
        </w:rPr>
        <w:t>proportionately higher for BME staff when compared to the workforce profile.</w:t>
      </w:r>
    </w:p>
    <w:p w:rsidR="00712AE7" w:rsidRPr="00CD4AA4" w:rsidRDefault="00712AE7" w:rsidP="000D329A">
      <w:pPr>
        <w:rPr>
          <w:rFonts w:ascii="Arial" w:hAnsi="Arial" w:cs="Arial"/>
          <w:b/>
        </w:rPr>
      </w:pPr>
      <w:r w:rsidRPr="00CD4AA4">
        <w:rPr>
          <w:rFonts w:ascii="Arial" w:hAnsi="Arial" w:cs="Arial"/>
          <w:b/>
        </w:rPr>
        <w:t>2.7</w:t>
      </w:r>
      <w:r w:rsidRPr="00CD4AA4">
        <w:rPr>
          <w:rFonts w:ascii="Arial" w:hAnsi="Arial" w:cs="Arial"/>
          <w:b/>
        </w:rPr>
        <w:tab/>
        <w:t>Staff Survey</w:t>
      </w:r>
    </w:p>
    <w:p w:rsidR="00712AE7" w:rsidRPr="00CD4AA4" w:rsidRDefault="00712AE7" w:rsidP="000D329A">
      <w:pPr>
        <w:autoSpaceDE w:val="0"/>
        <w:autoSpaceDN w:val="0"/>
        <w:adjustRightInd w:val="0"/>
        <w:rPr>
          <w:rFonts w:ascii="Arial" w:hAnsi="Arial" w:cs="Arial"/>
          <w:lang w:val="en-US"/>
        </w:rPr>
      </w:pPr>
      <w:r w:rsidRPr="00CD4AA4">
        <w:rPr>
          <w:rFonts w:ascii="Arial" w:hAnsi="Arial" w:cs="Arial"/>
          <w:lang w:val="en-US"/>
        </w:rPr>
        <w:t>In response to the questions broken down by ethnicity in the 201</w:t>
      </w:r>
      <w:r w:rsidR="008A0203">
        <w:rPr>
          <w:rFonts w:ascii="Arial" w:hAnsi="Arial" w:cs="Arial"/>
          <w:lang w:val="en-US"/>
        </w:rPr>
        <w:t>4</w:t>
      </w:r>
      <w:r w:rsidRPr="00CD4AA4">
        <w:rPr>
          <w:rFonts w:ascii="Arial" w:hAnsi="Arial" w:cs="Arial"/>
          <w:lang w:val="en-US"/>
        </w:rPr>
        <w:t xml:space="preserve"> Staff Survey, the most notable differences between White and BME colleagues were:</w:t>
      </w:r>
    </w:p>
    <w:p w:rsidR="00712AE7" w:rsidRPr="00F136CA" w:rsidRDefault="0064663F" w:rsidP="00F136CA">
      <w:pPr>
        <w:pStyle w:val="ListParagraph"/>
        <w:numPr>
          <w:ilvl w:val="0"/>
          <w:numId w:val="40"/>
        </w:numPr>
        <w:rPr>
          <w:rFonts w:ascii="Arial" w:hAnsi="Arial" w:cs="Arial"/>
          <w:lang w:val="en-US"/>
        </w:rPr>
      </w:pPr>
      <w:r>
        <w:rPr>
          <w:rFonts w:ascii="Arial" w:hAnsi="Arial" w:cs="Arial"/>
          <w:lang w:val="en-US"/>
        </w:rPr>
        <w:t>41</w:t>
      </w:r>
      <w:r w:rsidR="00712AE7" w:rsidRPr="00F136CA">
        <w:rPr>
          <w:rFonts w:ascii="Arial" w:hAnsi="Arial" w:cs="Arial"/>
          <w:lang w:val="en-US"/>
        </w:rPr>
        <w:t xml:space="preserve">% of BME staff responded that they had a </w:t>
      </w:r>
      <w:r w:rsidR="00B23A3A" w:rsidRPr="00F136CA">
        <w:rPr>
          <w:rFonts w:ascii="Arial" w:hAnsi="Arial" w:cs="Arial"/>
          <w:lang w:val="en-US"/>
        </w:rPr>
        <w:t>well-structured</w:t>
      </w:r>
      <w:r w:rsidR="00712AE7" w:rsidRPr="00F136CA">
        <w:rPr>
          <w:rFonts w:ascii="Arial" w:hAnsi="Arial" w:cs="Arial"/>
          <w:lang w:val="en-US"/>
        </w:rPr>
        <w:t xml:space="preserve"> appraisal in the last 12 months, compared to </w:t>
      </w:r>
      <w:r>
        <w:rPr>
          <w:rFonts w:ascii="Arial" w:hAnsi="Arial" w:cs="Arial"/>
          <w:lang w:val="en-US"/>
        </w:rPr>
        <w:t>31</w:t>
      </w:r>
      <w:r w:rsidR="00712AE7" w:rsidRPr="00F136CA">
        <w:rPr>
          <w:rFonts w:ascii="Arial" w:hAnsi="Arial" w:cs="Arial"/>
          <w:lang w:val="en-US"/>
        </w:rPr>
        <w:t>% of White staff.</w:t>
      </w:r>
      <w:r w:rsidR="00712AE7" w:rsidRPr="00F136CA">
        <w:rPr>
          <w:rFonts w:ascii="Arial" w:hAnsi="Arial" w:cs="Arial"/>
          <w:lang w:val="en-US"/>
        </w:rPr>
        <w:br/>
      </w:r>
    </w:p>
    <w:p w:rsidR="00712AE7" w:rsidRPr="00F136CA" w:rsidRDefault="0064663F" w:rsidP="00F136CA">
      <w:pPr>
        <w:pStyle w:val="ListParagraph"/>
        <w:numPr>
          <w:ilvl w:val="0"/>
          <w:numId w:val="40"/>
        </w:numPr>
        <w:rPr>
          <w:rFonts w:ascii="Arial" w:hAnsi="Arial" w:cs="Arial"/>
          <w:lang w:val="en-US"/>
        </w:rPr>
      </w:pPr>
      <w:r>
        <w:rPr>
          <w:rFonts w:ascii="Arial" w:hAnsi="Arial" w:cs="Arial"/>
          <w:lang w:val="en-US"/>
        </w:rPr>
        <w:t>32</w:t>
      </w:r>
      <w:r w:rsidR="00712AE7" w:rsidRPr="00F136CA">
        <w:rPr>
          <w:rFonts w:ascii="Arial" w:hAnsi="Arial" w:cs="Arial"/>
          <w:lang w:val="en-US"/>
        </w:rPr>
        <w:t xml:space="preserve">% of BME staff said they had suffered work related stress in the last 12 months compared to </w:t>
      </w:r>
      <w:r>
        <w:rPr>
          <w:rFonts w:ascii="Arial" w:hAnsi="Arial" w:cs="Arial"/>
          <w:lang w:val="en-US"/>
        </w:rPr>
        <w:t>42</w:t>
      </w:r>
      <w:r w:rsidR="00712AE7" w:rsidRPr="00F136CA">
        <w:rPr>
          <w:rFonts w:ascii="Arial" w:hAnsi="Arial" w:cs="Arial"/>
          <w:lang w:val="en-US"/>
        </w:rPr>
        <w:t>% of White staff.</w:t>
      </w:r>
      <w:r w:rsidR="00712AE7" w:rsidRPr="00F136CA">
        <w:rPr>
          <w:rFonts w:ascii="Arial" w:hAnsi="Arial" w:cs="Arial"/>
          <w:lang w:val="en-US"/>
        </w:rPr>
        <w:br/>
      </w:r>
    </w:p>
    <w:p w:rsidR="00712AE7" w:rsidRPr="00F136CA" w:rsidRDefault="0064663F" w:rsidP="00F136CA">
      <w:pPr>
        <w:pStyle w:val="ListParagraph"/>
        <w:numPr>
          <w:ilvl w:val="0"/>
          <w:numId w:val="40"/>
        </w:numPr>
        <w:rPr>
          <w:rFonts w:ascii="Arial" w:hAnsi="Arial" w:cs="Arial"/>
          <w:lang w:val="en-US"/>
        </w:rPr>
      </w:pPr>
      <w:r>
        <w:rPr>
          <w:rFonts w:ascii="Arial" w:hAnsi="Arial" w:cs="Arial"/>
          <w:lang w:val="en-US"/>
        </w:rPr>
        <w:t>68</w:t>
      </w:r>
      <w:r w:rsidR="00712AE7" w:rsidRPr="00F136CA">
        <w:rPr>
          <w:rFonts w:ascii="Arial" w:hAnsi="Arial" w:cs="Arial"/>
          <w:lang w:val="en-US"/>
        </w:rPr>
        <w:t xml:space="preserve">% of BME staff responded that they believed the Trust provides equal opportunities for career progression or promotion, compared to </w:t>
      </w:r>
      <w:r>
        <w:rPr>
          <w:rFonts w:ascii="Arial" w:hAnsi="Arial" w:cs="Arial"/>
          <w:lang w:val="en-US"/>
        </w:rPr>
        <w:t>86</w:t>
      </w:r>
      <w:r w:rsidR="00712AE7" w:rsidRPr="00F136CA">
        <w:rPr>
          <w:rFonts w:ascii="Arial" w:hAnsi="Arial" w:cs="Arial"/>
          <w:lang w:val="en-US"/>
        </w:rPr>
        <w:t>% of White staff.</w:t>
      </w:r>
    </w:p>
    <w:p w:rsidR="009512E9" w:rsidRDefault="009512E9" w:rsidP="000D329A">
      <w:pPr>
        <w:rPr>
          <w:rFonts w:ascii="Arial" w:hAnsi="Arial" w:cs="Arial"/>
          <w:b/>
        </w:rPr>
      </w:pPr>
    </w:p>
    <w:p w:rsidR="009512E9" w:rsidRDefault="009512E9" w:rsidP="000D329A">
      <w:pPr>
        <w:rPr>
          <w:rFonts w:ascii="Arial" w:hAnsi="Arial" w:cs="Arial"/>
          <w:b/>
        </w:rPr>
      </w:pPr>
    </w:p>
    <w:p w:rsidR="009512E9" w:rsidRDefault="009512E9" w:rsidP="000D329A">
      <w:pPr>
        <w:rPr>
          <w:rFonts w:ascii="Arial" w:hAnsi="Arial" w:cs="Arial"/>
          <w:b/>
        </w:rPr>
      </w:pPr>
    </w:p>
    <w:p w:rsidR="009512E9" w:rsidRDefault="009512E9" w:rsidP="000D329A">
      <w:pPr>
        <w:rPr>
          <w:rFonts w:ascii="Arial" w:hAnsi="Arial" w:cs="Arial"/>
          <w:b/>
        </w:rPr>
      </w:pPr>
    </w:p>
    <w:p w:rsidR="00712AE7" w:rsidRPr="00CD4AA4" w:rsidRDefault="00712AE7" w:rsidP="000D329A">
      <w:pPr>
        <w:rPr>
          <w:rFonts w:ascii="Arial" w:hAnsi="Arial" w:cs="Arial"/>
          <w:b/>
        </w:rPr>
      </w:pPr>
      <w:r w:rsidRPr="00CD4AA4">
        <w:rPr>
          <w:rFonts w:ascii="Arial" w:hAnsi="Arial" w:cs="Arial"/>
          <w:b/>
        </w:rPr>
        <w:lastRenderedPageBreak/>
        <w:t>2.8</w:t>
      </w:r>
      <w:r w:rsidRPr="00CD4AA4">
        <w:rPr>
          <w:rFonts w:ascii="Arial" w:hAnsi="Arial" w:cs="Arial"/>
          <w:b/>
        </w:rPr>
        <w:tab/>
        <w:t>Ethnicity Observations</w:t>
      </w:r>
    </w:p>
    <w:p w:rsidR="000D7B99" w:rsidRPr="00CD4AA4" w:rsidRDefault="00712AE7" w:rsidP="000D329A">
      <w:pPr>
        <w:rPr>
          <w:rFonts w:ascii="Arial" w:hAnsi="Arial" w:cs="Arial"/>
        </w:rPr>
      </w:pPr>
      <w:r w:rsidRPr="00CD4AA4">
        <w:rPr>
          <w:rFonts w:ascii="Arial" w:hAnsi="Arial" w:cs="Arial"/>
        </w:rPr>
        <w:t>Overall the picture on ethnicity gives some mixed outcomes:</w:t>
      </w:r>
    </w:p>
    <w:p w:rsidR="00712AE7" w:rsidRPr="00B25595" w:rsidRDefault="00712AE7" w:rsidP="00F136CA">
      <w:pPr>
        <w:pStyle w:val="ListParagraph"/>
        <w:numPr>
          <w:ilvl w:val="0"/>
          <w:numId w:val="41"/>
        </w:numPr>
        <w:rPr>
          <w:rFonts w:ascii="Arial" w:hAnsi="Arial" w:cs="Arial"/>
        </w:rPr>
      </w:pPr>
      <w:r w:rsidRPr="00B25595">
        <w:rPr>
          <w:rFonts w:ascii="Arial" w:hAnsi="Arial" w:cs="Arial"/>
        </w:rPr>
        <w:t xml:space="preserve">The overall </w:t>
      </w:r>
      <w:r w:rsidR="00B23A3A" w:rsidRPr="00B25595">
        <w:rPr>
          <w:rFonts w:ascii="Arial" w:hAnsi="Arial" w:cs="Arial"/>
        </w:rPr>
        <w:t>level of BME staff in post is</w:t>
      </w:r>
      <w:r w:rsidRPr="00B25595">
        <w:rPr>
          <w:rFonts w:ascii="Arial" w:hAnsi="Arial" w:cs="Arial"/>
        </w:rPr>
        <w:t xml:space="preserve"> below expectations when compared to the local population.  This position has not changed significantly since the last report. </w:t>
      </w:r>
      <w:r w:rsidRPr="00B25595">
        <w:rPr>
          <w:rFonts w:ascii="Arial" w:hAnsi="Arial" w:cs="Arial"/>
        </w:rPr>
        <w:br/>
      </w:r>
    </w:p>
    <w:p w:rsidR="00712AE7" w:rsidRPr="00B25595" w:rsidRDefault="00712AE7" w:rsidP="00F136CA">
      <w:pPr>
        <w:pStyle w:val="ListParagraph"/>
        <w:numPr>
          <w:ilvl w:val="0"/>
          <w:numId w:val="41"/>
        </w:numPr>
        <w:rPr>
          <w:rFonts w:ascii="Arial" w:hAnsi="Arial" w:cs="Arial"/>
        </w:rPr>
      </w:pPr>
      <w:r w:rsidRPr="00B25595">
        <w:rPr>
          <w:rFonts w:ascii="Arial" w:hAnsi="Arial" w:cs="Arial"/>
        </w:rPr>
        <w:t xml:space="preserve">BME staff are under-represented in most pay bands, apart from Band 5 and Medical grades.  This is reflected across staff groups with the exception of Medical, Qualified Nursing and Midwifery and Pharmacists. </w:t>
      </w:r>
      <w:r w:rsidRPr="00B25595">
        <w:rPr>
          <w:rFonts w:ascii="Arial" w:hAnsi="Arial" w:cs="Arial"/>
        </w:rPr>
        <w:br/>
      </w:r>
    </w:p>
    <w:p w:rsidR="00712AE7" w:rsidRPr="00B25595" w:rsidRDefault="00712AE7" w:rsidP="00F136CA">
      <w:pPr>
        <w:pStyle w:val="ListParagraph"/>
        <w:numPr>
          <w:ilvl w:val="0"/>
          <w:numId w:val="41"/>
        </w:numPr>
        <w:rPr>
          <w:rFonts w:ascii="Arial" w:hAnsi="Arial" w:cs="Arial"/>
        </w:rPr>
      </w:pPr>
      <w:r w:rsidRPr="00B25595">
        <w:rPr>
          <w:rFonts w:ascii="Arial" w:hAnsi="Arial" w:cs="Arial"/>
        </w:rPr>
        <w:t>The number of BME doctors receiving awards is in line with the proportion of BME doctors in post.</w:t>
      </w:r>
      <w:r w:rsidRPr="00B25595">
        <w:rPr>
          <w:rFonts w:ascii="Arial" w:hAnsi="Arial" w:cs="Arial"/>
        </w:rPr>
        <w:br/>
      </w:r>
    </w:p>
    <w:p w:rsidR="00712AE7" w:rsidRPr="009512E9" w:rsidRDefault="00712AE7" w:rsidP="00F136CA">
      <w:pPr>
        <w:pStyle w:val="ListParagraph"/>
        <w:numPr>
          <w:ilvl w:val="0"/>
          <w:numId w:val="41"/>
        </w:numPr>
        <w:rPr>
          <w:rFonts w:ascii="Arial" w:hAnsi="Arial" w:cs="Arial"/>
        </w:rPr>
      </w:pPr>
      <w:r w:rsidRPr="009512E9">
        <w:rPr>
          <w:rFonts w:ascii="Arial" w:hAnsi="Arial" w:cs="Arial"/>
        </w:rPr>
        <w:t>BME staff responded more positively to several staff survey questions, however responded less positively to whether the Trust provides equal opportunities for career progression.</w:t>
      </w:r>
    </w:p>
    <w:p w:rsidR="00F136CA" w:rsidRPr="00F136CA" w:rsidRDefault="00F136CA" w:rsidP="00F136CA">
      <w:pPr>
        <w:pStyle w:val="ListParagraph"/>
        <w:rPr>
          <w:rFonts w:ascii="Arial" w:hAnsi="Arial" w:cs="Arial"/>
        </w:rPr>
      </w:pPr>
    </w:p>
    <w:p w:rsidR="00712AE7" w:rsidRPr="00CD4AA4" w:rsidRDefault="00712AE7" w:rsidP="000D329A">
      <w:pPr>
        <w:rPr>
          <w:rFonts w:ascii="Arial" w:hAnsi="Arial" w:cs="Arial"/>
          <w:b/>
        </w:rPr>
      </w:pPr>
      <w:r w:rsidRPr="00CD4AA4">
        <w:rPr>
          <w:rFonts w:cs="Arial"/>
          <w:b/>
        </w:rPr>
        <w:t>3.0</w:t>
      </w:r>
      <w:r w:rsidRPr="00CD4AA4">
        <w:rPr>
          <w:rFonts w:cs="Arial"/>
          <w:b/>
        </w:rPr>
        <w:tab/>
      </w:r>
      <w:r w:rsidRPr="00CD4AA4">
        <w:rPr>
          <w:rFonts w:ascii="Arial" w:hAnsi="Arial" w:cs="Arial"/>
          <w:b/>
        </w:rPr>
        <w:t>GENDER PROFILE</w:t>
      </w:r>
    </w:p>
    <w:p w:rsidR="00712AE7" w:rsidRDefault="00712AE7" w:rsidP="000D329A">
      <w:pPr>
        <w:rPr>
          <w:rFonts w:ascii="Arial" w:hAnsi="Arial" w:cs="Arial"/>
          <w:b/>
        </w:rPr>
      </w:pPr>
      <w:r w:rsidRPr="00CD4AA4">
        <w:rPr>
          <w:rFonts w:ascii="Arial" w:hAnsi="Arial" w:cs="Arial"/>
          <w:b/>
        </w:rPr>
        <w:t>3.1</w:t>
      </w:r>
      <w:r w:rsidRPr="00CD4AA4">
        <w:rPr>
          <w:rFonts w:ascii="Arial" w:hAnsi="Arial" w:cs="Arial"/>
          <w:b/>
        </w:rPr>
        <w:tab/>
        <w:t xml:space="preserve">Staff in post </w:t>
      </w:r>
    </w:p>
    <w:p w:rsidR="00BF293F" w:rsidRDefault="00EE1DCD" w:rsidP="000D329A">
      <w:pPr>
        <w:rPr>
          <w:noProof/>
          <w:lang w:eastAsia="en-GB"/>
        </w:rPr>
      </w:pPr>
      <w:r>
        <w:rPr>
          <w:noProof/>
          <w:lang w:eastAsia="en-GB"/>
        </w:rPr>
        <w:drawing>
          <wp:inline distT="0" distB="0" distL="0" distR="0" wp14:anchorId="41D54F4B" wp14:editId="316B9C83">
            <wp:extent cx="5943600" cy="3556635"/>
            <wp:effectExtent l="0" t="0" r="19050" b="247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12AE7" w:rsidRPr="00CD4AA4" w:rsidRDefault="00712AE7" w:rsidP="000D329A">
      <w:pPr>
        <w:rPr>
          <w:rFonts w:ascii="Arial" w:hAnsi="Arial" w:cs="Arial"/>
        </w:rPr>
      </w:pPr>
      <w:r w:rsidRPr="00CD4AA4">
        <w:rPr>
          <w:rFonts w:ascii="Arial" w:hAnsi="Arial" w:cs="Arial"/>
        </w:rPr>
        <w:t xml:space="preserve">Graph </w:t>
      </w:r>
      <w:r w:rsidR="007C5706">
        <w:rPr>
          <w:rFonts w:ascii="Arial" w:hAnsi="Arial" w:cs="Arial"/>
        </w:rPr>
        <w:t>15</w:t>
      </w:r>
      <w:r w:rsidRPr="00CD4AA4">
        <w:rPr>
          <w:rFonts w:ascii="Arial" w:hAnsi="Arial" w:cs="Arial"/>
        </w:rPr>
        <w:t xml:space="preserve"> shows an updated gender analysis by grade.  Overall there are </w:t>
      </w:r>
      <w:r w:rsidRPr="00EE1DCD">
        <w:rPr>
          <w:rFonts w:ascii="Arial" w:hAnsi="Arial" w:cs="Arial"/>
        </w:rPr>
        <w:t>80</w:t>
      </w:r>
      <w:r w:rsidRPr="00CD4AA4">
        <w:rPr>
          <w:rFonts w:ascii="Arial" w:hAnsi="Arial" w:cs="Arial"/>
        </w:rPr>
        <w:t xml:space="preserve">% female staff and </w:t>
      </w:r>
      <w:r w:rsidRPr="00EE1DCD">
        <w:rPr>
          <w:rFonts w:ascii="Arial" w:hAnsi="Arial" w:cs="Arial"/>
        </w:rPr>
        <w:t>20</w:t>
      </w:r>
      <w:r w:rsidRPr="00CD4AA4">
        <w:rPr>
          <w:rFonts w:ascii="Arial" w:hAnsi="Arial" w:cs="Arial"/>
        </w:rPr>
        <w:t xml:space="preserve">% male staff within the </w:t>
      </w:r>
      <w:r w:rsidR="00B23A3A" w:rsidRPr="00CD4AA4">
        <w:rPr>
          <w:rFonts w:ascii="Arial" w:hAnsi="Arial" w:cs="Arial"/>
        </w:rPr>
        <w:t>Trust, which</w:t>
      </w:r>
      <w:r w:rsidRPr="00CD4AA4">
        <w:rPr>
          <w:rFonts w:ascii="Arial" w:hAnsi="Arial" w:cs="Arial"/>
        </w:rPr>
        <w:t xml:space="preserve"> represents no change over the last </w:t>
      </w:r>
      <w:r w:rsidR="00EE1DCD">
        <w:rPr>
          <w:rFonts w:ascii="Arial" w:hAnsi="Arial" w:cs="Arial"/>
        </w:rPr>
        <w:t>4</w:t>
      </w:r>
      <w:r w:rsidRPr="00CD4AA4">
        <w:rPr>
          <w:rFonts w:ascii="Arial" w:hAnsi="Arial" w:cs="Arial"/>
        </w:rPr>
        <w:t xml:space="preserve"> years.</w:t>
      </w:r>
    </w:p>
    <w:p w:rsidR="00712AE7" w:rsidRPr="00CD4AA4" w:rsidRDefault="00712AE7" w:rsidP="000D329A">
      <w:pPr>
        <w:rPr>
          <w:rFonts w:ascii="Arial" w:hAnsi="Arial" w:cs="Arial"/>
        </w:rPr>
      </w:pPr>
      <w:r w:rsidRPr="00CD4AA4">
        <w:rPr>
          <w:rFonts w:ascii="Arial" w:hAnsi="Arial" w:cs="Arial"/>
        </w:rPr>
        <w:t xml:space="preserve">For Bands 8c – 9 the proportion of </w:t>
      </w:r>
      <w:r w:rsidR="00393940" w:rsidRPr="00CD4AA4">
        <w:rPr>
          <w:rFonts w:ascii="Arial" w:hAnsi="Arial" w:cs="Arial"/>
        </w:rPr>
        <w:t>females has</w:t>
      </w:r>
      <w:r w:rsidRPr="00CD4AA4">
        <w:rPr>
          <w:rFonts w:ascii="Arial" w:hAnsi="Arial" w:cs="Arial"/>
        </w:rPr>
        <w:t xml:space="preserve"> </w:t>
      </w:r>
      <w:r w:rsidR="00EE1DCD">
        <w:rPr>
          <w:rFonts w:ascii="Arial" w:hAnsi="Arial" w:cs="Arial"/>
        </w:rPr>
        <w:t>fallen by 2% to 62</w:t>
      </w:r>
      <w:r w:rsidRPr="00CD4AA4">
        <w:rPr>
          <w:rFonts w:ascii="Arial" w:hAnsi="Arial" w:cs="Arial"/>
        </w:rPr>
        <w:t>% during the year.</w:t>
      </w:r>
    </w:p>
    <w:p w:rsidR="00712AE7" w:rsidRPr="00CD4AA4" w:rsidRDefault="00712AE7" w:rsidP="000D329A">
      <w:pPr>
        <w:rPr>
          <w:rFonts w:ascii="Arial" w:hAnsi="Arial" w:cs="Arial"/>
        </w:rPr>
      </w:pPr>
      <w:r w:rsidRPr="00CD4AA4">
        <w:rPr>
          <w:rFonts w:ascii="Arial" w:hAnsi="Arial" w:cs="Arial"/>
        </w:rPr>
        <w:t xml:space="preserve">The picture for medical staff remains similar to last year.  At Junior Medical level there </w:t>
      </w:r>
      <w:r w:rsidR="00BF293F">
        <w:rPr>
          <w:rFonts w:ascii="Arial" w:hAnsi="Arial" w:cs="Arial"/>
        </w:rPr>
        <w:t xml:space="preserve">has been a </w:t>
      </w:r>
      <w:r w:rsidR="00EE1DCD">
        <w:rPr>
          <w:rFonts w:ascii="Arial" w:hAnsi="Arial" w:cs="Arial"/>
        </w:rPr>
        <w:t xml:space="preserve">slight decrease </w:t>
      </w:r>
      <w:r w:rsidR="00BF293F">
        <w:rPr>
          <w:rFonts w:ascii="Arial" w:hAnsi="Arial" w:cs="Arial"/>
        </w:rPr>
        <w:t xml:space="preserve">in the </w:t>
      </w:r>
      <w:r w:rsidRPr="00CD4AA4">
        <w:rPr>
          <w:rFonts w:ascii="Arial" w:hAnsi="Arial" w:cs="Arial"/>
        </w:rPr>
        <w:t xml:space="preserve">proportion of females employed, at </w:t>
      </w:r>
      <w:r w:rsidR="00EE1DCD">
        <w:rPr>
          <w:rFonts w:ascii="Arial" w:hAnsi="Arial" w:cs="Arial"/>
        </w:rPr>
        <w:t>52</w:t>
      </w:r>
      <w:r w:rsidRPr="00CD4AA4">
        <w:rPr>
          <w:rFonts w:ascii="Arial" w:hAnsi="Arial" w:cs="Arial"/>
        </w:rPr>
        <w:t xml:space="preserve">%.  </w:t>
      </w:r>
      <w:r w:rsidR="00EE1DCD">
        <w:rPr>
          <w:rFonts w:ascii="Arial" w:hAnsi="Arial" w:cs="Arial"/>
        </w:rPr>
        <w:t xml:space="preserve">At </w:t>
      </w:r>
      <w:r w:rsidRPr="00CD4AA4">
        <w:rPr>
          <w:rFonts w:ascii="Arial" w:hAnsi="Arial" w:cs="Arial"/>
        </w:rPr>
        <w:t xml:space="preserve">Consultant level females </w:t>
      </w:r>
      <w:r w:rsidR="00EE1DCD">
        <w:rPr>
          <w:rFonts w:ascii="Arial" w:hAnsi="Arial" w:cs="Arial"/>
        </w:rPr>
        <w:t xml:space="preserve">continue to </w:t>
      </w:r>
      <w:r w:rsidRPr="00CD4AA4">
        <w:rPr>
          <w:rFonts w:ascii="Arial" w:hAnsi="Arial" w:cs="Arial"/>
        </w:rPr>
        <w:t xml:space="preserve">make up </w:t>
      </w:r>
      <w:r w:rsidR="00BF293F" w:rsidRPr="00EE1DCD">
        <w:rPr>
          <w:rFonts w:ascii="Arial" w:hAnsi="Arial" w:cs="Arial"/>
        </w:rPr>
        <w:t>30</w:t>
      </w:r>
      <w:r w:rsidRPr="00CD4AA4">
        <w:rPr>
          <w:rFonts w:ascii="Arial" w:hAnsi="Arial" w:cs="Arial"/>
        </w:rPr>
        <w:t>% of the workforce</w:t>
      </w:r>
      <w:r w:rsidR="00EE1DCD">
        <w:rPr>
          <w:rFonts w:ascii="Arial" w:hAnsi="Arial" w:cs="Arial"/>
        </w:rPr>
        <w:t>.</w:t>
      </w:r>
    </w:p>
    <w:p w:rsidR="00712AE7" w:rsidRPr="00CD4AA4" w:rsidRDefault="00712AE7" w:rsidP="000D329A">
      <w:pPr>
        <w:rPr>
          <w:rFonts w:ascii="Arial" w:hAnsi="Arial" w:cs="Arial"/>
        </w:rPr>
      </w:pPr>
      <w:r w:rsidRPr="00CD4AA4">
        <w:rPr>
          <w:rFonts w:ascii="Arial" w:hAnsi="Arial" w:cs="Arial"/>
        </w:rPr>
        <w:lastRenderedPageBreak/>
        <w:t xml:space="preserve">A brief analysis of Executive Directors shows that </w:t>
      </w:r>
      <w:r w:rsidR="009021F3">
        <w:rPr>
          <w:rFonts w:ascii="Arial" w:hAnsi="Arial" w:cs="Arial"/>
        </w:rPr>
        <w:t>33</w:t>
      </w:r>
      <w:r w:rsidRPr="00CD4AA4">
        <w:rPr>
          <w:rFonts w:ascii="Arial" w:hAnsi="Arial" w:cs="Arial"/>
        </w:rPr>
        <w:t>% of this group are female</w:t>
      </w:r>
      <w:r w:rsidR="00BF293F">
        <w:rPr>
          <w:rFonts w:ascii="Arial" w:hAnsi="Arial" w:cs="Arial"/>
        </w:rPr>
        <w:t xml:space="preserve">, a reduction from </w:t>
      </w:r>
      <w:r w:rsidR="00F87593">
        <w:rPr>
          <w:rFonts w:ascii="Arial" w:hAnsi="Arial" w:cs="Arial"/>
        </w:rPr>
        <w:t>201</w:t>
      </w:r>
      <w:r w:rsidR="009021F3">
        <w:rPr>
          <w:rFonts w:ascii="Arial" w:hAnsi="Arial" w:cs="Arial"/>
        </w:rPr>
        <w:t>4</w:t>
      </w:r>
      <w:r w:rsidR="00F87593">
        <w:rPr>
          <w:rFonts w:ascii="Arial" w:hAnsi="Arial" w:cs="Arial"/>
        </w:rPr>
        <w:t>.</w:t>
      </w:r>
    </w:p>
    <w:p w:rsidR="00712AE7" w:rsidRDefault="00712AE7" w:rsidP="000D329A">
      <w:pPr>
        <w:rPr>
          <w:rFonts w:ascii="Arial" w:hAnsi="Arial" w:cs="Arial"/>
          <w:b/>
        </w:rPr>
      </w:pPr>
      <w:r w:rsidRPr="00CD4AA4">
        <w:rPr>
          <w:rFonts w:ascii="Arial" w:hAnsi="Arial" w:cs="Arial"/>
          <w:b/>
        </w:rPr>
        <w:t>3.2</w:t>
      </w:r>
      <w:r w:rsidRPr="00CD4AA4">
        <w:rPr>
          <w:rFonts w:ascii="Arial" w:hAnsi="Arial" w:cs="Arial"/>
          <w:b/>
        </w:rPr>
        <w:tab/>
        <w:t>Recruitment</w:t>
      </w:r>
    </w:p>
    <w:p w:rsidR="00873B86" w:rsidRDefault="005E79BC" w:rsidP="000D329A">
      <w:pPr>
        <w:rPr>
          <w:noProof/>
          <w:lang w:eastAsia="en-GB"/>
        </w:rPr>
      </w:pPr>
      <w:r>
        <w:rPr>
          <w:noProof/>
          <w:lang w:eastAsia="en-GB"/>
        </w:rPr>
        <w:drawing>
          <wp:inline distT="0" distB="0" distL="0" distR="0" wp14:anchorId="05E47D1A" wp14:editId="7C92F417">
            <wp:extent cx="6010275" cy="3590925"/>
            <wp:effectExtent l="0" t="0" r="9525" b="952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12AE7" w:rsidRPr="00CD4AA4" w:rsidRDefault="00712AE7" w:rsidP="000D329A">
      <w:pPr>
        <w:rPr>
          <w:rFonts w:ascii="Arial" w:hAnsi="Arial" w:cs="Arial"/>
        </w:rPr>
      </w:pPr>
      <w:r w:rsidRPr="00CD4AA4">
        <w:rPr>
          <w:rFonts w:ascii="Arial" w:hAnsi="Arial" w:cs="Arial"/>
        </w:rPr>
        <w:t xml:space="preserve">Graph </w:t>
      </w:r>
      <w:r w:rsidR="007C5706">
        <w:rPr>
          <w:rFonts w:ascii="Arial" w:hAnsi="Arial" w:cs="Arial"/>
        </w:rPr>
        <w:t>16</w:t>
      </w:r>
      <w:r w:rsidRPr="00CD4AA4">
        <w:rPr>
          <w:rFonts w:ascii="Arial" w:hAnsi="Arial" w:cs="Arial"/>
        </w:rPr>
        <w:t xml:space="preserve"> shows recruitment activity by gender during the period </w:t>
      </w:r>
      <w:r w:rsidR="00E106ED">
        <w:rPr>
          <w:rFonts w:ascii="Arial" w:hAnsi="Arial" w:cs="Arial"/>
        </w:rPr>
        <w:t>September 2014 – October 2015</w:t>
      </w:r>
      <w:r w:rsidRPr="00CD4AA4">
        <w:rPr>
          <w:rFonts w:ascii="Arial" w:hAnsi="Arial" w:cs="Arial"/>
        </w:rPr>
        <w:t>.</w:t>
      </w:r>
    </w:p>
    <w:p w:rsidR="00712AE7" w:rsidRPr="00F136CA" w:rsidRDefault="00712AE7" w:rsidP="000D329A">
      <w:pPr>
        <w:rPr>
          <w:rFonts w:ascii="Arial" w:hAnsi="Arial" w:cs="Arial"/>
        </w:rPr>
      </w:pPr>
      <w:r w:rsidRPr="00CD4AA4">
        <w:rPr>
          <w:rFonts w:ascii="Arial" w:hAnsi="Arial" w:cs="Arial"/>
        </w:rPr>
        <w:t xml:space="preserve">During the period approximately </w:t>
      </w:r>
      <w:r w:rsidR="005C3BAE">
        <w:rPr>
          <w:rFonts w:ascii="Arial" w:hAnsi="Arial" w:cs="Arial"/>
        </w:rPr>
        <w:t>75</w:t>
      </w:r>
      <w:r w:rsidRPr="00CD4AA4">
        <w:rPr>
          <w:rFonts w:ascii="Arial" w:hAnsi="Arial" w:cs="Arial"/>
        </w:rPr>
        <w:t xml:space="preserve">% of applicants and </w:t>
      </w:r>
      <w:r w:rsidR="005C3BAE">
        <w:rPr>
          <w:rFonts w:ascii="Arial" w:hAnsi="Arial" w:cs="Arial"/>
        </w:rPr>
        <w:t>80</w:t>
      </w:r>
      <w:r w:rsidRPr="00CD4AA4">
        <w:rPr>
          <w:rFonts w:ascii="Arial" w:hAnsi="Arial" w:cs="Arial"/>
        </w:rPr>
        <w:t xml:space="preserve">% of appointments were </w:t>
      </w:r>
      <w:r w:rsidR="00393940" w:rsidRPr="00CD4AA4">
        <w:rPr>
          <w:rFonts w:ascii="Arial" w:hAnsi="Arial" w:cs="Arial"/>
        </w:rPr>
        <w:t>female, thus</w:t>
      </w:r>
      <w:r w:rsidRPr="00CD4AA4">
        <w:rPr>
          <w:rFonts w:ascii="Arial" w:hAnsi="Arial" w:cs="Arial"/>
        </w:rPr>
        <w:t xml:space="preserve"> maintaining the high proportion of female staff within the Trust.</w:t>
      </w:r>
      <w:r w:rsidR="00F136CA">
        <w:rPr>
          <w:rFonts w:ascii="Arial" w:hAnsi="Arial" w:cs="Arial"/>
        </w:rPr>
        <w:t xml:space="preserve"> </w:t>
      </w:r>
      <w:r w:rsidR="00F136CA" w:rsidRPr="00CD4AA4">
        <w:rPr>
          <w:rFonts w:ascii="Arial" w:hAnsi="Arial" w:cs="Arial"/>
        </w:rPr>
        <w:t xml:space="preserve">During the period the data suggests that male applicants overall were less likely to be </w:t>
      </w:r>
      <w:r w:rsidR="00873B86">
        <w:rPr>
          <w:rFonts w:ascii="Arial" w:hAnsi="Arial" w:cs="Arial"/>
        </w:rPr>
        <w:t>shortlisted</w:t>
      </w:r>
      <w:r w:rsidR="00F136CA" w:rsidRPr="00CD4AA4">
        <w:rPr>
          <w:rFonts w:ascii="Arial" w:hAnsi="Arial" w:cs="Arial"/>
        </w:rPr>
        <w:t xml:space="preserve"> than female applicants</w:t>
      </w:r>
      <w:r w:rsidR="00873B86">
        <w:rPr>
          <w:rFonts w:ascii="Arial" w:hAnsi="Arial" w:cs="Arial"/>
        </w:rPr>
        <w:t>.</w:t>
      </w:r>
    </w:p>
    <w:p w:rsidR="00712AE7" w:rsidRPr="00CD4AA4" w:rsidRDefault="00712AE7" w:rsidP="000D329A">
      <w:pPr>
        <w:rPr>
          <w:rFonts w:ascii="Arial" w:hAnsi="Arial" w:cs="Arial"/>
          <w:b/>
        </w:rPr>
      </w:pPr>
      <w:r w:rsidRPr="00CD4AA4">
        <w:rPr>
          <w:rFonts w:ascii="Arial" w:hAnsi="Arial" w:cs="Arial"/>
          <w:b/>
        </w:rPr>
        <w:t>3.3</w:t>
      </w:r>
      <w:r w:rsidRPr="00CD4AA4">
        <w:rPr>
          <w:rFonts w:ascii="Arial" w:hAnsi="Arial" w:cs="Arial"/>
          <w:b/>
        </w:rPr>
        <w:tab/>
        <w:t>Promotions</w:t>
      </w:r>
    </w:p>
    <w:p w:rsidR="00712AE7" w:rsidRPr="00CD4AA4" w:rsidRDefault="00B23A3A" w:rsidP="000D329A">
      <w:pPr>
        <w:rPr>
          <w:rFonts w:ascii="Arial" w:hAnsi="Arial" w:cs="Arial"/>
          <w:b/>
        </w:rPr>
      </w:pPr>
      <w:r w:rsidRPr="00CD4AA4">
        <w:rPr>
          <w:rFonts w:ascii="Arial" w:hAnsi="Arial" w:cs="Arial"/>
        </w:rPr>
        <w:t xml:space="preserve">During the period </w:t>
      </w:r>
      <w:r w:rsidR="00503C4F">
        <w:rPr>
          <w:rFonts w:ascii="Arial" w:hAnsi="Arial" w:cs="Arial"/>
        </w:rPr>
        <w:t xml:space="preserve">March 2015 to September 2015 </w:t>
      </w:r>
      <w:r w:rsidRPr="00CD4AA4">
        <w:rPr>
          <w:rFonts w:ascii="Arial" w:hAnsi="Arial" w:cs="Arial"/>
        </w:rPr>
        <w:t>some</w:t>
      </w:r>
      <w:r>
        <w:rPr>
          <w:rFonts w:ascii="Arial" w:hAnsi="Arial" w:cs="Arial"/>
        </w:rPr>
        <w:t xml:space="preserve"> </w:t>
      </w:r>
      <w:r w:rsidR="005C3BAE">
        <w:rPr>
          <w:rFonts w:ascii="Arial" w:hAnsi="Arial" w:cs="Arial"/>
        </w:rPr>
        <w:t>79</w:t>
      </w:r>
      <w:r w:rsidRPr="00CD4AA4">
        <w:rPr>
          <w:rFonts w:ascii="Arial" w:hAnsi="Arial" w:cs="Arial"/>
        </w:rPr>
        <w:t xml:space="preserve">% of promotions were to female staff, which </w:t>
      </w:r>
      <w:r w:rsidR="005C3BAE">
        <w:rPr>
          <w:rFonts w:ascii="Arial" w:hAnsi="Arial" w:cs="Arial"/>
        </w:rPr>
        <w:t xml:space="preserve">reflects the </w:t>
      </w:r>
      <w:r w:rsidRPr="00CD4AA4">
        <w:rPr>
          <w:rFonts w:ascii="Arial" w:hAnsi="Arial" w:cs="Arial"/>
        </w:rPr>
        <w:t>proportion</w:t>
      </w:r>
      <w:r w:rsidR="00F87593">
        <w:rPr>
          <w:rFonts w:ascii="Arial" w:hAnsi="Arial" w:cs="Arial"/>
        </w:rPr>
        <w:t xml:space="preserve"> of females in post.</w:t>
      </w:r>
    </w:p>
    <w:p w:rsidR="00712AE7" w:rsidRPr="00CD4AA4" w:rsidRDefault="00712AE7" w:rsidP="000D329A">
      <w:pPr>
        <w:rPr>
          <w:rFonts w:ascii="Arial" w:hAnsi="Arial" w:cs="Arial"/>
          <w:b/>
        </w:rPr>
      </w:pPr>
      <w:r w:rsidRPr="00CD4AA4">
        <w:rPr>
          <w:rFonts w:ascii="Arial" w:hAnsi="Arial" w:cs="Arial"/>
          <w:b/>
        </w:rPr>
        <w:t>3.4</w:t>
      </w:r>
      <w:r w:rsidRPr="00CD4AA4">
        <w:rPr>
          <w:rFonts w:ascii="Arial" w:hAnsi="Arial" w:cs="Arial"/>
          <w:b/>
        </w:rPr>
        <w:tab/>
        <w:t>Flexible Working</w:t>
      </w:r>
    </w:p>
    <w:p w:rsidR="00F87593" w:rsidRDefault="0079273C" w:rsidP="000D329A">
      <w:pPr>
        <w:rPr>
          <w:rFonts w:ascii="Arial" w:hAnsi="Arial" w:cs="Arial"/>
        </w:rPr>
      </w:pPr>
      <w:r>
        <w:rPr>
          <w:rFonts w:ascii="Arial" w:hAnsi="Arial" w:cs="Arial"/>
        </w:rPr>
        <w:t xml:space="preserve">The </w:t>
      </w:r>
      <w:r w:rsidR="00712AE7" w:rsidRPr="00CD4AA4">
        <w:rPr>
          <w:rFonts w:ascii="Arial" w:hAnsi="Arial" w:cs="Arial"/>
        </w:rPr>
        <w:t>analysis of male and female staff working flexibly</w:t>
      </w:r>
      <w:r w:rsidR="00F87593">
        <w:rPr>
          <w:rFonts w:ascii="Arial" w:hAnsi="Arial" w:cs="Arial"/>
        </w:rPr>
        <w:t xml:space="preserve">, </w:t>
      </w:r>
      <w:r w:rsidR="00712AE7" w:rsidRPr="00CD4AA4">
        <w:rPr>
          <w:rFonts w:ascii="Arial" w:hAnsi="Arial" w:cs="Arial"/>
        </w:rPr>
        <w:t xml:space="preserve">on a part-time basis shows that </w:t>
      </w:r>
      <w:r w:rsidR="0046576F">
        <w:rPr>
          <w:rFonts w:ascii="Arial" w:hAnsi="Arial" w:cs="Arial"/>
        </w:rPr>
        <w:t>47</w:t>
      </w:r>
      <w:r w:rsidR="00712AE7" w:rsidRPr="00CD4AA4">
        <w:rPr>
          <w:rFonts w:ascii="Arial" w:hAnsi="Arial" w:cs="Arial"/>
        </w:rPr>
        <w:t xml:space="preserve">% of female and </w:t>
      </w:r>
      <w:r w:rsidR="0046576F">
        <w:rPr>
          <w:rFonts w:ascii="Arial" w:hAnsi="Arial" w:cs="Arial"/>
        </w:rPr>
        <w:t>15</w:t>
      </w:r>
      <w:r w:rsidR="00712AE7" w:rsidRPr="00CD4AA4">
        <w:rPr>
          <w:rFonts w:ascii="Arial" w:hAnsi="Arial" w:cs="Arial"/>
        </w:rPr>
        <w:t>% of male staff work part-time</w:t>
      </w:r>
      <w:r>
        <w:rPr>
          <w:rFonts w:ascii="Arial" w:hAnsi="Arial" w:cs="Arial"/>
        </w:rPr>
        <w:t xml:space="preserve">, the same proportion as </w:t>
      </w:r>
      <w:r w:rsidR="00503C4F">
        <w:rPr>
          <w:rFonts w:ascii="Arial" w:hAnsi="Arial" w:cs="Arial"/>
        </w:rPr>
        <w:t>2014</w:t>
      </w:r>
      <w:r w:rsidR="00F87593">
        <w:rPr>
          <w:rFonts w:ascii="Arial" w:hAnsi="Arial" w:cs="Arial"/>
        </w:rPr>
        <w:t>.</w:t>
      </w:r>
    </w:p>
    <w:p w:rsidR="00712AE7" w:rsidRPr="00CD4AA4" w:rsidRDefault="00150DDA" w:rsidP="000D329A">
      <w:pPr>
        <w:rPr>
          <w:rFonts w:ascii="Arial" w:hAnsi="Arial" w:cs="Arial"/>
        </w:rPr>
      </w:pPr>
      <w:r w:rsidRPr="00CD4AA4">
        <w:rPr>
          <w:rFonts w:ascii="Arial" w:hAnsi="Arial" w:cs="Arial"/>
        </w:rPr>
        <w:t xml:space="preserve">An analysis of staff groups shows that the staff group with the highest proportion of part-time staff is Ancillary </w:t>
      </w:r>
      <w:r w:rsidR="009F3BA8">
        <w:rPr>
          <w:rFonts w:ascii="Arial" w:hAnsi="Arial" w:cs="Arial"/>
        </w:rPr>
        <w:t xml:space="preserve">at 64% </w:t>
      </w:r>
      <w:r w:rsidRPr="00CD4AA4">
        <w:rPr>
          <w:rFonts w:ascii="Arial" w:hAnsi="Arial" w:cs="Arial"/>
        </w:rPr>
        <w:t>and the lowest is Maintenance</w:t>
      </w:r>
      <w:r w:rsidR="009F3BA8">
        <w:rPr>
          <w:rFonts w:ascii="Arial" w:hAnsi="Arial" w:cs="Arial"/>
        </w:rPr>
        <w:t xml:space="preserve"> at 3%</w:t>
      </w:r>
      <w:r w:rsidRPr="00CD4AA4">
        <w:rPr>
          <w:rFonts w:ascii="Arial" w:hAnsi="Arial" w:cs="Arial"/>
        </w:rPr>
        <w:t xml:space="preserve">.  </w:t>
      </w:r>
      <w:r w:rsidR="009F3BA8">
        <w:rPr>
          <w:rFonts w:ascii="Arial" w:hAnsi="Arial" w:cs="Arial"/>
        </w:rPr>
        <w:t>20</w:t>
      </w:r>
      <w:r w:rsidRPr="00CD4AA4">
        <w:rPr>
          <w:rFonts w:ascii="Arial" w:hAnsi="Arial" w:cs="Arial"/>
        </w:rPr>
        <w:t>% of the Senior Medical workforce is employed on a part-time basis</w:t>
      </w:r>
      <w:r w:rsidR="009F3BA8">
        <w:rPr>
          <w:rFonts w:ascii="Arial" w:hAnsi="Arial" w:cs="Arial"/>
        </w:rPr>
        <w:t>, an increase of 6% from 2014.  45</w:t>
      </w:r>
      <w:r w:rsidRPr="00CD4AA4">
        <w:rPr>
          <w:rFonts w:ascii="Arial" w:hAnsi="Arial" w:cs="Arial"/>
        </w:rPr>
        <w:t>% of the Qualified Nursing and Midwifery workforce is emplo</w:t>
      </w:r>
      <w:r>
        <w:rPr>
          <w:rFonts w:ascii="Arial" w:hAnsi="Arial" w:cs="Arial"/>
        </w:rPr>
        <w:t>yed on a part-time basis</w:t>
      </w:r>
      <w:r w:rsidR="0079273C">
        <w:rPr>
          <w:rFonts w:ascii="Arial" w:hAnsi="Arial" w:cs="Arial"/>
        </w:rPr>
        <w:t>, a marginal increase over the year.</w:t>
      </w:r>
    </w:p>
    <w:p w:rsidR="00712AE7" w:rsidRPr="00CD4AA4" w:rsidRDefault="00712AE7" w:rsidP="000D329A">
      <w:pPr>
        <w:rPr>
          <w:rFonts w:ascii="Arial" w:hAnsi="Arial" w:cs="Arial"/>
          <w:b/>
        </w:rPr>
      </w:pPr>
      <w:r w:rsidRPr="00CD4AA4">
        <w:rPr>
          <w:rFonts w:ascii="Arial" w:hAnsi="Arial" w:cs="Arial"/>
          <w:b/>
        </w:rPr>
        <w:t>3.5</w:t>
      </w:r>
      <w:r w:rsidRPr="00CD4AA4">
        <w:rPr>
          <w:rFonts w:ascii="Arial" w:hAnsi="Arial" w:cs="Arial"/>
          <w:b/>
        </w:rPr>
        <w:tab/>
        <w:t>Leavers</w:t>
      </w:r>
    </w:p>
    <w:p w:rsidR="008E2643" w:rsidRDefault="0065428E" w:rsidP="000D329A">
      <w:pPr>
        <w:rPr>
          <w:rFonts w:ascii="Arial" w:hAnsi="Arial" w:cs="Arial"/>
        </w:rPr>
      </w:pPr>
      <w:r>
        <w:rPr>
          <w:rFonts w:ascii="Arial" w:hAnsi="Arial" w:cs="Arial"/>
        </w:rPr>
        <w:t>81</w:t>
      </w:r>
      <w:r w:rsidR="00712AE7" w:rsidRPr="00CD4AA4">
        <w:rPr>
          <w:rFonts w:ascii="Arial" w:hAnsi="Arial" w:cs="Arial"/>
        </w:rPr>
        <w:t xml:space="preserve">% of leavers during the period </w:t>
      </w:r>
      <w:r w:rsidR="00503C4F">
        <w:rPr>
          <w:rFonts w:ascii="Arial" w:hAnsi="Arial" w:cs="Arial"/>
        </w:rPr>
        <w:t xml:space="preserve">October </w:t>
      </w:r>
      <w:r w:rsidR="00712AE7" w:rsidRPr="00CD4AA4">
        <w:rPr>
          <w:rFonts w:ascii="Arial" w:hAnsi="Arial" w:cs="Arial"/>
        </w:rPr>
        <w:t>201</w:t>
      </w:r>
      <w:r w:rsidR="008A0203">
        <w:rPr>
          <w:rFonts w:ascii="Arial" w:hAnsi="Arial" w:cs="Arial"/>
        </w:rPr>
        <w:t>4</w:t>
      </w:r>
      <w:r w:rsidR="00712AE7" w:rsidRPr="00CD4AA4">
        <w:rPr>
          <w:rFonts w:ascii="Arial" w:hAnsi="Arial" w:cs="Arial"/>
        </w:rPr>
        <w:t xml:space="preserve"> – </w:t>
      </w:r>
      <w:r w:rsidR="00503C4F">
        <w:rPr>
          <w:rFonts w:ascii="Arial" w:hAnsi="Arial" w:cs="Arial"/>
        </w:rPr>
        <w:t xml:space="preserve">September 2015 </w:t>
      </w:r>
      <w:r w:rsidR="00712AE7" w:rsidRPr="00CD4AA4">
        <w:rPr>
          <w:rFonts w:ascii="Arial" w:hAnsi="Arial" w:cs="Arial"/>
        </w:rPr>
        <w:t xml:space="preserve">were female. This is </w:t>
      </w:r>
      <w:r w:rsidR="007D2155">
        <w:rPr>
          <w:rFonts w:ascii="Arial" w:hAnsi="Arial" w:cs="Arial"/>
        </w:rPr>
        <w:t xml:space="preserve">in line with the </w:t>
      </w:r>
      <w:r w:rsidR="008E2643">
        <w:rPr>
          <w:rFonts w:ascii="Arial" w:hAnsi="Arial" w:cs="Arial"/>
        </w:rPr>
        <w:t>proportion of female staff in post.</w:t>
      </w:r>
    </w:p>
    <w:p w:rsidR="00712AE7" w:rsidRPr="00CD4AA4" w:rsidRDefault="00712AE7" w:rsidP="000D329A">
      <w:pPr>
        <w:rPr>
          <w:rFonts w:ascii="Arial" w:hAnsi="Arial" w:cs="Arial"/>
          <w:b/>
        </w:rPr>
      </w:pPr>
      <w:r w:rsidRPr="00CD4AA4">
        <w:rPr>
          <w:rFonts w:ascii="Arial" w:hAnsi="Arial" w:cs="Arial"/>
          <w:b/>
        </w:rPr>
        <w:lastRenderedPageBreak/>
        <w:t>3.6</w:t>
      </w:r>
      <w:r w:rsidRPr="00CD4AA4">
        <w:rPr>
          <w:rFonts w:ascii="Arial" w:hAnsi="Arial" w:cs="Arial"/>
          <w:b/>
        </w:rPr>
        <w:tab/>
        <w:t>Assessment</w:t>
      </w:r>
    </w:p>
    <w:p w:rsidR="00712AE7" w:rsidRPr="00CD4AA4" w:rsidRDefault="00712AE7" w:rsidP="000D329A">
      <w:pPr>
        <w:rPr>
          <w:rFonts w:ascii="Arial" w:hAnsi="Arial" w:cs="Arial"/>
        </w:rPr>
      </w:pPr>
      <w:r w:rsidRPr="00CD4AA4">
        <w:rPr>
          <w:rFonts w:ascii="Arial" w:hAnsi="Arial" w:cs="Arial"/>
        </w:rPr>
        <w:t xml:space="preserve">As with ethnicity, this section relates only to doctors who are eligible to receive Clinical Excellence Awards, Optional Points and Discretionary Points.  For </w:t>
      </w:r>
      <w:r w:rsidR="00503C4F" w:rsidRPr="008C118C">
        <w:rPr>
          <w:rFonts w:ascii="Arial" w:hAnsi="Arial" w:cs="Arial"/>
        </w:rPr>
        <w:t>2015</w:t>
      </w:r>
      <w:r w:rsidR="008A0203" w:rsidRPr="008C118C">
        <w:rPr>
          <w:rFonts w:ascii="Arial" w:hAnsi="Arial" w:cs="Arial"/>
        </w:rPr>
        <w:t xml:space="preserve"> </w:t>
      </w:r>
      <w:r w:rsidRPr="008C118C">
        <w:rPr>
          <w:rFonts w:ascii="Arial" w:hAnsi="Arial" w:cs="Arial"/>
        </w:rPr>
        <w:t xml:space="preserve">29% of staff eligible for these awards </w:t>
      </w:r>
      <w:proofErr w:type="gramStart"/>
      <w:r w:rsidRPr="008C118C">
        <w:rPr>
          <w:rFonts w:ascii="Arial" w:hAnsi="Arial" w:cs="Arial"/>
        </w:rPr>
        <w:t>were</w:t>
      </w:r>
      <w:proofErr w:type="gramEnd"/>
      <w:r w:rsidRPr="008C118C">
        <w:rPr>
          <w:rFonts w:ascii="Arial" w:hAnsi="Arial" w:cs="Arial"/>
        </w:rPr>
        <w:t xml:space="preserve"> female and there was a further increase in the percentage of awards granted to female staff from </w:t>
      </w:r>
      <w:r w:rsidR="008E2643" w:rsidRPr="008C118C">
        <w:rPr>
          <w:rFonts w:ascii="Arial" w:hAnsi="Arial" w:cs="Arial"/>
        </w:rPr>
        <w:t>22</w:t>
      </w:r>
      <w:r w:rsidRPr="008C118C">
        <w:rPr>
          <w:rFonts w:ascii="Arial" w:hAnsi="Arial" w:cs="Arial"/>
        </w:rPr>
        <w:t xml:space="preserve">% to </w:t>
      </w:r>
      <w:r w:rsidR="008E2643" w:rsidRPr="008C118C">
        <w:rPr>
          <w:rFonts w:ascii="Arial" w:hAnsi="Arial" w:cs="Arial"/>
        </w:rPr>
        <w:t>40</w:t>
      </w:r>
      <w:r w:rsidRPr="008C118C">
        <w:rPr>
          <w:rFonts w:ascii="Arial" w:hAnsi="Arial" w:cs="Arial"/>
        </w:rPr>
        <w:t>%</w:t>
      </w:r>
      <w:r w:rsidR="008C118C">
        <w:rPr>
          <w:rFonts w:ascii="Arial" w:hAnsi="Arial" w:cs="Arial"/>
        </w:rPr>
        <w:t>.</w:t>
      </w:r>
      <w:r w:rsidRPr="00CD4AA4">
        <w:rPr>
          <w:rFonts w:ascii="Arial" w:hAnsi="Arial" w:cs="Arial"/>
        </w:rPr>
        <w:t xml:space="preserve">  </w:t>
      </w:r>
    </w:p>
    <w:p w:rsidR="00712AE7" w:rsidRDefault="00712AE7" w:rsidP="000D329A">
      <w:pPr>
        <w:rPr>
          <w:rFonts w:ascii="Arial" w:hAnsi="Arial" w:cs="Arial"/>
          <w:b/>
        </w:rPr>
      </w:pPr>
      <w:r w:rsidRPr="00CD4AA4">
        <w:rPr>
          <w:rFonts w:ascii="Arial" w:hAnsi="Arial" w:cs="Arial"/>
          <w:b/>
        </w:rPr>
        <w:t>3.7</w:t>
      </w:r>
      <w:r w:rsidRPr="00CD4AA4">
        <w:rPr>
          <w:rFonts w:ascii="Arial" w:hAnsi="Arial" w:cs="Arial"/>
          <w:b/>
        </w:rPr>
        <w:tab/>
        <w:t>Employee Relations Indicators</w:t>
      </w:r>
      <w:r w:rsidR="00B805B0">
        <w:rPr>
          <w:rFonts w:ascii="Arial" w:hAnsi="Arial" w:cs="Arial"/>
          <w:b/>
        </w:rPr>
        <w:t xml:space="preserve"> </w:t>
      </w:r>
    </w:p>
    <w:p w:rsidR="004C014A" w:rsidRDefault="00823D29" w:rsidP="000D329A">
      <w:pPr>
        <w:rPr>
          <w:noProof/>
          <w:lang w:eastAsia="en-GB"/>
        </w:rPr>
      </w:pPr>
      <w:r>
        <w:rPr>
          <w:noProof/>
          <w:lang w:eastAsia="en-GB"/>
        </w:rPr>
        <w:drawing>
          <wp:inline distT="0" distB="0" distL="0" distR="0" wp14:anchorId="126C9476" wp14:editId="07FC8410">
            <wp:extent cx="6067425" cy="29622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23D29" w:rsidRDefault="00712AE7" w:rsidP="000D329A">
      <w:pPr>
        <w:rPr>
          <w:rFonts w:ascii="Arial" w:hAnsi="Arial" w:cs="Arial"/>
        </w:rPr>
      </w:pPr>
      <w:r w:rsidRPr="00CD4AA4">
        <w:rPr>
          <w:rFonts w:ascii="Arial" w:hAnsi="Arial" w:cs="Arial"/>
        </w:rPr>
        <w:t>Graph</w:t>
      </w:r>
      <w:r w:rsidR="00A459B0">
        <w:rPr>
          <w:rFonts w:ascii="Arial" w:hAnsi="Arial" w:cs="Arial"/>
        </w:rPr>
        <w:t xml:space="preserve"> </w:t>
      </w:r>
      <w:r w:rsidR="00EE1281">
        <w:rPr>
          <w:rFonts w:ascii="Arial" w:hAnsi="Arial" w:cs="Arial"/>
        </w:rPr>
        <w:t>17</w:t>
      </w:r>
      <w:r w:rsidR="00A459B0">
        <w:rPr>
          <w:rFonts w:ascii="Arial" w:hAnsi="Arial" w:cs="Arial"/>
        </w:rPr>
        <w:t xml:space="preserve"> </w:t>
      </w:r>
      <w:r w:rsidRPr="00CD4AA4">
        <w:rPr>
          <w:rFonts w:ascii="Arial" w:hAnsi="Arial" w:cs="Arial"/>
        </w:rPr>
        <w:t>show</w:t>
      </w:r>
      <w:r w:rsidR="00A459B0">
        <w:rPr>
          <w:rFonts w:ascii="Arial" w:hAnsi="Arial" w:cs="Arial"/>
        </w:rPr>
        <w:t>s</w:t>
      </w:r>
      <w:r w:rsidRPr="00CD4AA4">
        <w:rPr>
          <w:rFonts w:ascii="Arial" w:hAnsi="Arial" w:cs="Arial"/>
        </w:rPr>
        <w:t xml:space="preserve"> the percentage of disciplinary and grievance cases by gender for the period </w:t>
      </w:r>
      <w:r w:rsidR="00503C4F">
        <w:rPr>
          <w:rFonts w:ascii="Arial" w:hAnsi="Arial" w:cs="Arial"/>
        </w:rPr>
        <w:t xml:space="preserve">October 2014 to September 2015.  </w:t>
      </w:r>
      <w:r w:rsidRPr="00CD4AA4">
        <w:rPr>
          <w:rFonts w:ascii="Arial" w:hAnsi="Arial" w:cs="Arial"/>
        </w:rPr>
        <w:t xml:space="preserve">The most notable difference relates to what appears to be a disproportionate number of male staff </w:t>
      </w:r>
      <w:r w:rsidR="005F3011">
        <w:rPr>
          <w:rFonts w:ascii="Arial" w:hAnsi="Arial" w:cs="Arial"/>
        </w:rPr>
        <w:t>being subject to disciplinary action</w:t>
      </w:r>
      <w:r w:rsidR="00823D29">
        <w:rPr>
          <w:rFonts w:ascii="Arial" w:hAnsi="Arial" w:cs="Arial"/>
        </w:rPr>
        <w:t xml:space="preserve"> (46 cases)</w:t>
      </w:r>
      <w:r w:rsidR="005F3011">
        <w:rPr>
          <w:rFonts w:ascii="Arial" w:hAnsi="Arial" w:cs="Arial"/>
        </w:rPr>
        <w:t xml:space="preserve">.  </w:t>
      </w:r>
      <w:r w:rsidR="00823D29">
        <w:rPr>
          <w:rFonts w:ascii="Arial" w:hAnsi="Arial" w:cs="Arial"/>
        </w:rPr>
        <w:t xml:space="preserve">The </w:t>
      </w:r>
      <w:r w:rsidRPr="00CD4AA4">
        <w:rPr>
          <w:rFonts w:ascii="Arial" w:hAnsi="Arial" w:cs="Arial"/>
        </w:rPr>
        <w:t>number</w:t>
      </w:r>
      <w:r w:rsidR="00823D29">
        <w:rPr>
          <w:rFonts w:ascii="Arial" w:hAnsi="Arial" w:cs="Arial"/>
        </w:rPr>
        <w:t xml:space="preserve"> of grievances </w:t>
      </w:r>
      <w:r w:rsidR="008C118C">
        <w:rPr>
          <w:rFonts w:ascii="Arial" w:hAnsi="Arial" w:cs="Arial"/>
        </w:rPr>
        <w:t>are to</w:t>
      </w:r>
      <w:r w:rsidRPr="00CD4AA4">
        <w:rPr>
          <w:rFonts w:ascii="Arial" w:hAnsi="Arial" w:cs="Arial"/>
        </w:rPr>
        <w:t>o low (</w:t>
      </w:r>
      <w:r w:rsidR="00823D29">
        <w:rPr>
          <w:rFonts w:ascii="Arial" w:hAnsi="Arial" w:cs="Arial"/>
        </w:rPr>
        <w:t>19 cases) to draw any meaningful conclusion.</w:t>
      </w:r>
    </w:p>
    <w:p w:rsidR="00712AE7" w:rsidRPr="00CD4AA4" w:rsidRDefault="00712AE7" w:rsidP="000D329A">
      <w:pPr>
        <w:rPr>
          <w:rFonts w:ascii="Arial" w:hAnsi="Arial" w:cs="Arial"/>
          <w:b/>
        </w:rPr>
      </w:pPr>
      <w:r w:rsidRPr="00CD4AA4">
        <w:rPr>
          <w:rFonts w:ascii="Arial" w:hAnsi="Arial" w:cs="Arial"/>
          <w:b/>
        </w:rPr>
        <w:t>3.7</w:t>
      </w:r>
      <w:r w:rsidRPr="00CD4AA4">
        <w:rPr>
          <w:rFonts w:ascii="Arial" w:hAnsi="Arial" w:cs="Arial"/>
          <w:b/>
        </w:rPr>
        <w:tab/>
        <w:t>Staff Survey</w:t>
      </w:r>
    </w:p>
    <w:p w:rsidR="00712AE7" w:rsidRPr="00CD4AA4" w:rsidRDefault="00712AE7" w:rsidP="000D329A">
      <w:pPr>
        <w:rPr>
          <w:rFonts w:ascii="Arial" w:hAnsi="Arial" w:cs="Arial"/>
        </w:rPr>
      </w:pPr>
      <w:r w:rsidRPr="00CD4AA4">
        <w:rPr>
          <w:rFonts w:ascii="Arial" w:hAnsi="Arial" w:cs="Arial"/>
        </w:rPr>
        <w:t>The main differences between male and female responses within the 201</w:t>
      </w:r>
      <w:r w:rsidR="005F3011">
        <w:rPr>
          <w:rFonts w:ascii="Arial" w:hAnsi="Arial" w:cs="Arial"/>
        </w:rPr>
        <w:t>4</w:t>
      </w:r>
      <w:r w:rsidRPr="00CD4AA4">
        <w:rPr>
          <w:rFonts w:ascii="Arial" w:hAnsi="Arial" w:cs="Arial"/>
        </w:rPr>
        <w:t xml:space="preserve"> staff survey included:</w:t>
      </w:r>
    </w:p>
    <w:p w:rsidR="00712AE7" w:rsidRPr="00150DDA" w:rsidRDefault="0064663F" w:rsidP="00150DDA">
      <w:pPr>
        <w:pStyle w:val="ListParagraph"/>
        <w:numPr>
          <w:ilvl w:val="0"/>
          <w:numId w:val="42"/>
        </w:numPr>
        <w:jc w:val="both"/>
        <w:rPr>
          <w:rFonts w:ascii="Arial" w:hAnsi="Arial" w:cs="Arial"/>
        </w:rPr>
      </w:pPr>
      <w:r>
        <w:rPr>
          <w:rFonts w:ascii="Arial" w:hAnsi="Arial" w:cs="Arial"/>
        </w:rPr>
        <w:t>33</w:t>
      </w:r>
      <w:r w:rsidR="00712AE7" w:rsidRPr="00150DDA">
        <w:rPr>
          <w:rFonts w:ascii="Arial" w:hAnsi="Arial" w:cs="Arial"/>
        </w:rPr>
        <w:t xml:space="preserve">% of males indicated they suffered work related stress in the last 12 months compared to </w:t>
      </w:r>
      <w:r>
        <w:rPr>
          <w:rFonts w:ascii="Arial" w:hAnsi="Arial" w:cs="Arial"/>
        </w:rPr>
        <w:t>42</w:t>
      </w:r>
      <w:r w:rsidR="00712AE7" w:rsidRPr="00150DDA">
        <w:rPr>
          <w:rFonts w:ascii="Arial" w:hAnsi="Arial" w:cs="Arial"/>
        </w:rPr>
        <w:t>% of females, which is broadly consistent with the 201</w:t>
      </w:r>
      <w:r w:rsidR="008A0203">
        <w:rPr>
          <w:rFonts w:ascii="Arial" w:hAnsi="Arial" w:cs="Arial"/>
        </w:rPr>
        <w:t>3</w:t>
      </w:r>
      <w:r w:rsidR="00712AE7" w:rsidRPr="00150DDA">
        <w:rPr>
          <w:rFonts w:ascii="Arial" w:hAnsi="Arial" w:cs="Arial"/>
        </w:rPr>
        <w:t xml:space="preserve"> survey.</w:t>
      </w:r>
      <w:r w:rsidR="005F3011">
        <w:rPr>
          <w:rFonts w:ascii="Arial" w:hAnsi="Arial" w:cs="Arial"/>
        </w:rPr>
        <w:br/>
      </w:r>
    </w:p>
    <w:p w:rsidR="00A11338" w:rsidRPr="00823D29" w:rsidRDefault="0064663F" w:rsidP="000D329A">
      <w:pPr>
        <w:pStyle w:val="ListParagraph"/>
        <w:numPr>
          <w:ilvl w:val="0"/>
          <w:numId w:val="42"/>
        </w:numPr>
        <w:jc w:val="both"/>
        <w:rPr>
          <w:rFonts w:ascii="Arial" w:hAnsi="Arial" w:cs="Arial"/>
          <w:b/>
        </w:rPr>
      </w:pPr>
      <w:r w:rsidRPr="00823D29">
        <w:rPr>
          <w:rFonts w:ascii="Arial" w:hAnsi="Arial" w:cs="Arial"/>
        </w:rPr>
        <w:t>22</w:t>
      </w:r>
      <w:r w:rsidR="00712AE7" w:rsidRPr="00823D29">
        <w:rPr>
          <w:rFonts w:ascii="Arial" w:hAnsi="Arial" w:cs="Arial"/>
        </w:rPr>
        <w:t xml:space="preserve">% of males felt pressure in the last 3 months to attend work when feeling unwell compared to </w:t>
      </w:r>
      <w:r w:rsidRPr="00823D29">
        <w:rPr>
          <w:rFonts w:ascii="Arial" w:hAnsi="Arial" w:cs="Arial"/>
        </w:rPr>
        <w:t>30</w:t>
      </w:r>
      <w:r w:rsidR="00712AE7" w:rsidRPr="00823D29">
        <w:rPr>
          <w:rFonts w:ascii="Arial" w:hAnsi="Arial" w:cs="Arial"/>
        </w:rPr>
        <w:t>% of females.  Both figures have risen since the 201</w:t>
      </w:r>
      <w:r w:rsidR="008A0203" w:rsidRPr="00823D29">
        <w:rPr>
          <w:rFonts w:ascii="Arial" w:hAnsi="Arial" w:cs="Arial"/>
        </w:rPr>
        <w:t>3</w:t>
      </w:r>
      <w:r w:rsidR="00712AE7" w:rsidRPr="00823D29">
        <w:rPr>
          <w:rFonts w:ascii="Arial" w:hAnsi="Arial" w:cs="Arial"/>
        </w:rPr>
        <w:t xml:space="preserve"> survey.</w:t>
      </w:r>
      <w:r w:rsidR="005F3011" w:rsidRPr="00823D29">
        <w:rPr>
          <w:rFonts w:ascii="Arial" w:hAnsi="Arial" w:cs="Arial"/>
        </w:rPr>
        <w:br/>
      </w:r>
    </w:p>
    <w:p w:rsidR="00712AE7" w:rsidRPr="00CD4AA4" w:rsidRDefault="00712AE7" w:rsidP="000D329A">
      <w:pPr>
        <w:rPr>
          <w:rFonts w:ascii="Arial" w:hAnsi="Arial" w:cs="Arial"/>
          <w:b/>
        </w:rPr>
      </w:pPr>
      <w:r w:rsidRPr="00CD4AA4">
        <w:rPr>
          <w:rFonts w:ascii="Arial" w:hAnsi="Arial" w:cs="Arial"/>
          <w:b/>
        </w:rPr>
        <w:t>3.8</w:t>
      </w:r>
      <w:r w:rsidRPr="00CD4AA4">
        <w:rPr>
          <w:rFonts w:ascii="Arial" w:hAnsi="Arial" w:cs="Arial"/>
          <w:b/>
        </w:rPr>
        <w:tab/>
        <w:t>Gender - Observations</w:t>
      </w:r>
    </w:p>
    <w:p w:rsidR="00823D29" w:rsidRDefault="00823D29" w:rsidP="000D329A">
      <w:pPr>
        <w:rPr>
          <w:rFonts w:ascii="Arial" w:hAnsi="Arial" w:cs="Arial"/>
        </w:rPr>
      </w:pPr>
      <w:r>
        <w:rPr>
          <w:rFonts w:ascii="Arial" w:hAnsi="Arial" w:cs="Arial"/>
        </w:rPr>
        <w:t xml:space="preserve">In </w:t>
      </w:r>
      <w:r w:rsidRPr="00CD4AA4">
        <w:rPr>
          <w:rFonts w:ascii="Arial" w:hAnsi="Arial" w:cs="Arial"/>
        </w:rPr>
        <w:t xml:space="preserve">Bands 8c – 9 the proportion of females has </w:t>
      </w:r>
      <w:r>
        <w:rPr>
          <w:rFonts w:ascii="Arial" w:hAnsi="Arial" w:cs="Arial"/>
        </w:rPr>
        <w:t>fallen by 2% to 62</w:t>
      </w:r>
      <w:r w:rsidRPr="00CD4AA4">
        <w:rPr>
          <w:rFonts w:ascii="Arial" w:hAnsi="Arial" w:cs="Arial"/>
        </w:rPr>
        <w:t>% during the year</w:t>
      </w:r>
      <w:r>
        <w:rPr>
          <w:rFonts w:ascii="Arial" w:hAnsi="Arial" w:cs="Arial"/>
        </w:rPr>
        <w:t>.</w:t>
      </w:r>
    </w:p>
    <w:p w:rsidR="005E5A2E" w:rsidRPr="005E5A2E" w:rsidRDefault="005E5A2E" w:rsidP="000D329A">
      <w:pPr>
        <w:rPr>
          <w:rFonts w:ascii="Arial" w:hAnsi="Arial" w:cs="Arial"/>
        </w:rPr>
      </w:pPr>
      <w:r>
        <w:rPr>
          <w:rFonts w:ascii="Arial" w:hAnsi="Arial" w:cs="Arial"/>
        </w:rPr>
        <w:t xml:space="preserve">The proportion of women in Consultant and Senior Medical posts has </w:t>
      </w:r>
      <w:r w:rsidR="00823D29">
        <w:rPr>
          <w:rFonts w:ascii="Arial" w:hAnsi="Arial" w:cs="Arial"/>
        </w:rPr>
        <w:t>decreased slightly to 30</w:t>
      </w:r>
      <w:r>
        <w:rPr>
          <w:rFonts w:ascii="Arial" w:hAnsi="Arial" w:cs="Arial"/>
        </w:rPr>
        <w:t>%.</w:t>
      </w:r>
    </w:p>
    <w:p w:rsidR="00A11338" w:rsidRPr="00A11338" w:rsidRDefault="00150DDA" w:rsidP="000D329A">
      <w:pPr>
        <w:rPr>
          <w:rFonts w:ascii="Arial" w:hAnsi="Arial" w:cs="Arial"/>
        </w:rPr>
      </w:pPr>
      <w:r w:rsidRPr="00A11338">
        <w:rPr>
          <w:rFonts w:ascii="Arial" w:hAnsi="Arial" w:cs="Arial"/>
        </w:rPr>
        <w:t xml:space="preserve">Whilst the NHS has a predominantly female workforce, the male workforce remains at or around </w:t>
      </w:r>
      <w:r w:rsidR="00823D29">
        <w:rPr>
          <w:rFonts w:ascii="Arial" w:hAnsi="Arial" w:cs="Arial"/>
        </w:rPr>
        <w:t>20</w:t>
      </w:r>
      <w:r w:rsidRPr="00A11338">
        <w:rPr>
          <w:rFonts w:ascii="Arial" w:hAnsi="Arial" w:cs="Arial"/>
        </w:rPr>
        <w:t xml:space="preserve">%, compared to our nearest Acute Trust UHB with a male workforce of 28%. </w:t>
      </w:r>
    </w:p>
    <w:p w:rsidR="00712AE7" w:rsidRPr="00CD4AA4" w:rsidRDefault="00712AE7" w:rsidP="000D329A">
      <w:pPr>
        <w:rPr>
          <w:rFonts w:ascii="Arial" w:hAnsi="Arial" w:cs="Arial"/>
        </w:rPr>
      </w:pPr>
    </w:p>
    <w:p w:rsidR="00712AE7" w:rsidRPr="00CD4AA4" w:rsidRDefault="00712AE7" w:rsidP="000D329A">
      <w:pPr>
        <w:rPr>
          <w:rFonts w:ascii="Arial" w:hAnsi="Arial" w:cs="Arial"/>
          <w:b/>
        </w:rPr>
      </w:pPr>
      <w:r w:rsidRPr="00CD4AA4">
        <w:rPr>
          <w:rFonts w:cs="Arial"/>
          <w:b/>
        </w:rPr>
        <w:lastRenderedPageBreak/>
        <w:t>4.0</w:t>
      </w:r>
      <w:r w:rsidRPr="00CD4AA4">
        <w:rPr>
          <w:rFonts w:cs="Arial"/>
          <w:b/>
        </w:rPr>
        <w:tab/>
      </w:r>
      <w:r w:rsidRPr="00CD4AA4">
        <w:rPr>
          <w:rFonts w:ascii="Arial" w:hAnsi="Arial" w:cs="Arial"/>
          <w:b/>
        </w:rPr>
        <w:t>Disability</w:t>
      </w:r>
    </w:p>
    <w:p w:rsidR="00712AE7" w:rsidRPr="00CD4AA4" w:rsidRDefault="00712AE7" w:rsidP="000D329A">
      <w:pPr>
        <w:rPr>
          <w:rFonts w:ascii="Arial" w:hAnsi="Arial" w:cs="Arial"/>
          <w:b/>
        </w:rPr>
      </w:pPr>
      <w:r w:rsidRPr="00CD4AA4">
        <w:rPr>
          <w:rFonts w:ascii="Arial" w:hAnsi="Arial" w:cs="Arial"/>
          <w:b/>
        </w:rPr>
        <w:t>4.1</w:t>
      </w:r>
      <w:r w:rsidRPr="00CD4AA4">
        <w:rPr>
          <w:rFonts w:ascii="Arial" w:hAnsi="Arial" w:cs="Arial"/>
          <w:b/>
        </w:rPr>
        <w:tab/>
        <w:t>Staff Profile</w:t>
      </w:r>
    </w:p>
    <w:p w:rsidR="00712AE7" w:rsidRDefault="00712AE7" w:rsidP="000D329A">
      <w:pPr>
        <w:rPr>
          <w:rFonts w:ascii="Arial" w:hAnsi="Arial" w:cs="Arial"/>
        </w:rPr>
      </w:pPr>
      <w:r w:rsidRPr="00CD4AA4">
        <w:rPr>
          <w:rFonts w:ascii="Arial" w:hAnsi="Arial" w:cs="Arial"/>
        </w:rPr>
        <w:t xml:space="preserve">The Office for National Statistics has produced data showing that in the West Midlands 19.4% of 16-64 year olds </w:t>
      </w:r>
      <w:r w:rsidR="00B23A3A" w:rsidRPr="00CD4AA4">
        <w:rPr>
          <w:rFonts w:ascii="Arial" w:hAnsi="Arial" w:cs="Arial"/>
        </w:rPr>
        <w:t>have disabilities</w:t>
      </w:r>
      <w:r w:rsidRPr="00CD4AA4">
        <w:rPr>
          <w:rFonts w:ascii="Arial" w:hAnsi="Arial" w:cs="Arial"/>
        </w:rPr>
        <w:t>.</w:t>
      </w:r>
      <w:r w:rsidR="00150DDA">
        <w:rPr>
          <w:rFonts w:ascii="Arial" w:hAnsi="Arial" w:cs="Arial"/>
        </w:rPr>
        <w:t xml:space="preserve"> </w:t>
      </w:r>
      <w:r w:rsidR="00150DDA" w:rsidRPr="00CD4AA4">
        <w:rPr>
          <w:rFonts w:ascii="Arial" w:hAnsi="Arial" w:cs="Arial"/>
        </w:rPr>
        <w:t xml:space="preserve">Graph </w:t>
      </w:r>
      <w:r w:rsidR="00EE1281">
        <w:rPr>
          <w:rFonts w:ascii="Arial" w:hAnsi="Arial" w:cs="Arial"/>
        </w:rPr>
        <w:t>18</w:t>
      </w:r>
      <w:r w:rsidR="00150DDA" w:rsidRPr="00CD4AA4">
        <w:rPr>
          <w:rFonts w:ascii="Arial" w:hAnsi="Arial" w:cs="Arial"/>
        </w:rPr>
        <w:t xml:space="preserve"> shows that just over </w:t>
      </w:r>
      <w:r w:rsidR="000E7145">
        <w:rPr>
          <w:rFonts w:ascii="Arial" w:hAnsi="Arial" w:cs="Arial"/>
        </w:rPr>
        <w:t>2</w:t>
      </w:r>
      <w:r w:rsidR="00150DDA" w:rsidRPr="00CD4AA4">
        <w:rPr>
          <w:rFonts w:ascii="Arial" w:hAnsi="Arial" w:cs="Arial"/>
        </w:rPr>
        <w:t>% of staff (</w:t>
      </w:r>
      <w:r w:rsidR="000E7145">
        <w:rPr>
          <w:rFonts w:ascii="Arial" w:hAnsi="Arial" w:cs="Arial"/>
        </w:rPr>
        <w:t>231</w:t>
      </w:r>
      <w:r w:rsidR="00150DDA" w:rsidRPr="00CD4AA4">
        <w:rPr>
          <w:rFonts w:ascii="Arial" w:hAnsi="Arial" w:cs="Arial"/>
        </w:rPr>
        <w:t>) have stated that they have a disability.  However there remains a high percentage of staff (</w:t>
      </w:r>
      <w:r w:rsidR="000E7145">
        <w:rPr>
          <w:rFonts w:ascii="Arial" w:hAnsi="Arial" w:cs="Arial"/>
        </w:rPr>
        <w:t>23</w:t>
      </w:r>
      <w:r w:rsidR="00150DDA" w:rsidRPr="00CD4AA4">
        <w:rPr>
          <w:rFonts w:ascii="Arial" w:hAnsi="Arial" w:cs="Arial"/>
        </w:rPr>
        <w:t>%) where disability status is unknown or not declared.</w:t>
      </w:r>
      <w:r w:rsidR="00B26C47">
        <w:rPr>
          <w:rFonts w:ascii="Arial" w:hAnsi="Arial" w:cs="Arial"/>
        </w:rPr>
        <w:t xml:space="preserve"> </w:t>
      </w:r>
      <w:r w:rsidR="00B26C47" w:rsidRPr="00CD4AA4">
        <w:rPr>
          <w:rFonts w:ascii="Arial" w:hAnsi="Arial" w:cs="Arial"/>
        </w:rPr>
        <w:t>Information from the 201</w:t>
      </w:r>
      <w:r w:rsidR="008A0203">
        <w:rPr>
          <w:rFonts w:ascii="Arial" w:hAnsi="Arial" w:cs="Arial"/>
        </w:rPr>
        <w:t>4</w:t>
      </w:r>
      <w:r w:rsidR="00B26C47" w:rsidRPr="00CD4AA4">
        <w:rPr>
          <w:rFonts w:ascii="Arial" w:hAnsi="Arial" w:cs="Arial"/>
        </w:rPr>
        <w:t xml:space="preserve"> Staff Survey shows that </w:t>
      </w:r>
      <w:r w:rsidR="00C776CF">
        <w:rPr>
          <w:rFonts w:ascii="Arial" w:hAnsi="Arial" w:cs="Arial"/>
        </w:rPr>
        <w:t>18</w:t>
      </w:r>
      <w:r w:rsidR="00B26C47" w:rsidRPr="00CD4AA4">
        <w:rPr>
          <w:rFonts w:ascii="Arial" w:hAnsi="Arial" w:cs="Arial"/>
        </w:rPr>
        <w:t>% of respondents indicated that they have a disability, suggesting that more staff have a di</w:t>
      </w:r>
      <w:r w:rsidR="00B26C47">
        <w:rPr>
          <w:rFonts w:ascii="Arial" w:hAnsi="Arial" w:cs="Arial"/>
        </w:rPr>
        <w:t xml:space="preserve">sability </w:t>
      </w:r>
      <w:r w:rsidR="000E7145">
        <w:rPr>
          <w:rFonts w:ascii="Arial" w:hAnsi="Arial" w:cs="Arial"/>
        </w:rPr>
        <w:t>than</w:t>
      </w:r>
      <w:r w:rsidR="00B26C47">
        <w:rPr>
          <w:rFonts w:ascii="Arial" w:hAnsi="Arial" w:cs="Arial"/>
        </w:rPr>
        <w:t xml:space="preserve"> we have recorded.</w:t>
      </w:r>
    </w:p>
    <w:p w:rsidR="00E75098" w:rsidRDefault="000E7145" w:rsidP="000D329A">
      <w:pPr>
        <w:rPr>
          <w:rFonts w:ascii="Arial" w:hAnsi="Arial" w:cs="Arial"/>
        </w:rPr>
      </w:pPr>
      <w:r>
        <w:rPr>
          <w:noProof/>
          <w:lang w:eastAsia="en-GB"/>
        </w:rPr>
        <w:drawing>
          <wp:inline distT="0" distB="0" distL="0" distR="0" wp14:anchorId="38C0D536" wp14:editId="66C6118D">
            <wp:extent cx="5943600" cy="29813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34439" w:rsidRDefault="00234439" w:rsidP="000D329A">
      <w:pPr>
        <w:rPr>
          <w:rFonts w:ascii="Arial" w:hAnsi="Arial" w:cs="Arial"/>
        </w:rPr>
      </w:pPr>
    </w:p>
    <w:p w:rsidR="00E75098" w:rsidRDefault="00234439" w:rsidP="000D329A">
      <w:pPr>
        <w:rPr>
          <w:rFonts w:ascii="Arial" w:hAnsi="Arial" w:cs="Arial"/>
        </w:rPr>
      </w:pPr>
      <w:r>
        <w:rPr>
          <w:noProof/>
          <w:lang w:eastAsia="en-GB"/>
        </w:rPr>
        <w:drawing>
          <wp:inline distT="0" distB="0" distL="0" distR="0" wp14:anchorId="41BE1E2D" wp14:editId="1F87F950">
            <wp:extent cx="5943600" cy="34004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75098" w:rsidRPr="00CD4AA4" w:rsidRDefault="00E75098" w:rsidP="000D329A">
      <w:pPr>
        <w:rPr>
          <w:rFonts w:ascii="Arial" w:hAnsi="Arial" w:cs="Arial"/>
        </w:rPr>
      </w:pPr>
    </w:p>
    <w:p w:rsidR="00712AE7" w:rsidRPr="00CD4AA4" w:rsidRDefault="00712AE7" w:rsidP="000D329A">
      <w:pPr>
        <w:rPr>
          <w:rFonts w:ascii="Arial" w:hAnsi="Arial" w:cs="Arial"/>
        </w:rPr>
      </w:pPr>
      <w:r w:rsidRPr="00CD4AA4">
        <w:rPr>
          <w:rFonts w:ascii="Arial" w:hAnsi="Arial" w:cs="Arial"/>
        </w:rPr>
        <w:t xml:space="preserve">Graph </w:t>
      </w:r>
      <w:r w:rsidR="00EE1281">
        <w:rPr>
          <w:rFonts w:ascii="Arial" w:hAnsi="Arial" w:cs="Arial"/>
        </w:rPr>
        <w:t>19</w:t>
      </w:r>
      <w:r w:rsidRPr="00CD4AA4">
        <w:rPr>
          <w:rFonts w:ascii="Arial" w:hAnsi="Arial" w:cs="Arial"/>
        </w:rPr>
        <w:t xml:space="preserve"> shows the percentage of staff recorded as having a disability by grade. </w:t>
      </w:r>
      <w:r w:rsidR="00234439">
        <w:rPr>
          <w:rFonts w:ascii="Arial" w:hAnsi="Arial" w:cs="Arial"/>
        </w:rPr>
        <w:t xml:space="preserve">Disabled staff are </w:t>
      </w:r>
      <w:r w:rsidRPr="00CD4AA4">
        <w:rPr>
          <w:rFonts w:ascii="Arial" w:hAnsi="Arial" w:cs="Arial"/>
        </w:rPr>
        <w:t>least represented in the medical grades</w:t>
      </w:r>
      <w:r w:rsidR="00F713AB">
        <w:rPr>
          <w:rFonts w:ascii="Arial" w:hAnsi="Arial" w:cs="Arial"/>
        </w:rPr>
        <w:t xml:space="preserve">, where </w:t>
      </w:r>
      <w:r w:rsidR="00234439">
        <w:rPr>
          <w:rFonts w:ascii="Arial" w:hAnsi="Arial" w:cs="Arial"/>
        </w:rPr>
        <w:t>5</w:t>
      </w:r>
      <w:r w:rsidR="00F713AB">
        <w:rPr>
          <w:rFonts w:ascii="Arial" w:hAnsi="Arial" w:cs="Arial"/>
        </w:rPr>
        <w:t xml:space="preserve"> people have declared a disability</w:t>
      </w:r>
      <w:r w:rsidRPr="00CD4AA4">
        <w:rPr>
          <w:rFonts w:ascii="Arial" w:hAnsi="Arial" w:cs="Arial"/>
        </w:rPr>
        <w:t>.</w:t>
      </w:r>
      <w:r w:rsidR="00234439">
        <w:rPr>
          <w:rFonts w:ascii="Arial" w:hAnsi="Arial" w:cs="Arial"/>
        </w:rPr>
        <w:t xml:space="preserve">  </w:t>
      </w:r>
    </w:p>
    <w:p w:rsidR="00B26C47" w:rsidRDefault="00B26C47" w:rsidP="000D329A">
      <w:pPr>
        <w:rPr>
          <w:rFonts w:ascii="Arial" w:hAnsi="Arial" w:cs="Arial"/>
          <w:b/>
        </w:rPr>
      </w:pPr>
    </w:p>
    <w:p w:rsidR="00712AE7" w:rsidRDefault="00712AE7" w:rsidP="000D329A">
      <w:pPr>
        <w:rPr>
          <w:rFonts w:ascii="Arial" w:hAnsi="Arial" w:cs="Arial"/>
          <w:b/>
        </w:rPr>
      </w:pPr>
      <w:r w:rsidRPr="00CD4AA4">
        <w:rPr>
          <w:rFonts w:ascii="Arial" w:hAnsi="Arial" w:cs="Arial"/>
          <w:b/>
        </w:rPr>
        <w:t>4.2</w:t>
      </w:r>
      <w:r w:rsidRPr="00CD4AA4">
        <w:rPr>
          <w:rFonts w:ascii="Arial" w:hAnsi="Arial" w:cs="Arial"/>
          <w:b/>
        </w:rPr>
        <w:tab/>
        <w:t>Recruitment and Selection</w:t>
      </w:r>
    </w:p>
    <w:p w:rsidR="00CC146F" w:rsidRDefault="00234439" w:rsidP="000D329A">
      <w:pPr>
        <w:rPr>
          <w:rFonts w:ascii="Arial" w:hAnsi="Arial" w:cs="Arial"/>
          <w:b/>
        </w:rPr>
      </w:pPr>
      <w:r>
        <w:rPr>
          <w:noProof/>
          <w:lang w:eastAsia="en-GB"/>
        </w:rPr>
        <w:drawing>
          <wp:inline distT="0" distB="0" distL="0" distR="0" wp14:anchorId="5F9FB10E" wp14:editId="31E3C9E6">
            <wp:extent cx="6229350" cy="33528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12AE7" w:rsidRPr="00CD4AA4" w:rsidRDefault="00712AE7" w:rsidP="000D329A">
      <w:pPr>
        <w:rPr>
          <w:rFonts w:ascii="Arial" w:hAnsi="Arial" w:cs="Arial"/>
        </w:rPr>
      </w:pPr>
      <w:r w:rsidRPr="00CD4AA4">
        <w:rPr>
          <w:rFonts w:ascii="Arial" w:hAnsi="Arial" w:cs="Arial"/>
        </w:rPr>
        <w:t xml:space="preserve">Graph </w:t>
      </w:r>
      <w:r w:rsidR="00EE1281">
        <w:rPr>
          <w:rFonts w:ascii="Arial" w:hAnsi="Arial" w:cs="Arial"/>
        </w:rPr>
        <w:t>20</w:t>
      </w:r>
      <w:r w:rsidRPr="00CD4AA4">
        <w:rPr>
          <w:rFonts w:ascii="Arial" w:hAnsi="Arial" w:cs="Arial"/>
        </w:rPr>
        <w:t xml:space="preserve"> shows the passage of disabled candidates from application to appointment </w:t>
      </w:r>
      <w:r w:rsidR="00784006">
        <w:rPr>
          <w:rFonts w:ascii="Arial" w:hAnsi="Arial" w:cs="Arial"/>
        </w:rPr>
        <w:t xml:space="preserve">between September 2014 and October 2015.  </w:t>
      </w:r>
      <w:r w:rsidRPr="00CD4AA4">
        <w:rPr>
          <w:rFonts w:ascii="Arial" w:hAnsi="Arial" w:cs="Arial"/>
        </w:rPr>
        <w:t>for the 6 months following August 201</w:t>
      </w:r>
      <w:r w:rsidR="009E05D9">
        <w:rPr>
          <w:rFonts w:ascii="Arial" w:hAnsi="Arial" w:cs="Arial"/>
        </w:rPr>
        <w:t>3</w:t>
      </w:r>
      <w:r w:rsidRPr="00CD4AA4">
        <w:rPr>
          <w:rFonts w:ascii="Arial" w:hAnsi="Arial" w:cs="Arial"/>
        </w:rPr>
        <w:t xml:space="preserve"> and </w:t>
      </w:r>
      <w:r w:rsidR="00503C4F">
        <w:rPr>
          <w:rFonts w:ascii="Arial" w:hAnsi="Arial" w:cs="Arial"/>
        </w:rPr>
        <w:t>between October 2014 and September 2015</w:t>
      </w:r>
      <w:r w:rsidRPr="00CD4AA4">
        <w:rPr>
          <w:rFonts w:ascii="Arial" w:hAnsi="Arial" w:cs="Arial"/>
        </w:rPr>
        <w:t>.   Around</w:t>
      </w:r>
      <w:r w:rsidR="00784006">
        <w:rPr>
          <w:rFonts w:ascii="Arial" w:hAnsi="Arial" w:cs="Arial"/>
        </w:rPr>
        <w:t xml:space="preserve"> 3.9% of applicants declared a disability compared to 4.2% </w:t>
      </w:r>
      <w:r w:rsidRPr="00CD4AA4">
        <w:rPr>
          <w:rFonts w:ascii="Arial" w:hAnsi="Arial" w:cs="Arial"/>
        </w:rPr>
        <w:t xml:space="preserve">last year.  However despite disabled applicants representing </w:t>
      </w:r>
      <w:r w:rsidR="00784006">
        <w:rPr>
          <w:rFonts w:ascii="Arial" w:hAnsi="Arial" w:cs="Arial"/>
        </w:rPr>
        <w:t>4.4</w:t>
      </w:r>
      <w:r w:rsidRPr="00CD4AA4">
        <w:rPr>
          <w:rFonts w:ascii="Arial" w:hAnsi="Arial" w:cs="Arial"/>
        </w:rPr>
        <w:t xml:space="preserve">% of those shortlisted, just </w:t>
      </w:r>
      <w:r w:rsidR="00784006">
        <w:rPr>
          <w:rFonts w:ascii="Arial" w:hAnsi="Arial" w:cs="Arial"/>
        </w:rPr>
        <w:t>3.2</w:t>
      </w:r>
      <w:r w:rsidRPr="00CD4AA4">
        <w:rPr>
          <w:rFonts w:ascii="Arial" w:hAnsi="Arial" w:cs="Arial"/>
        </w:rPr>
        <w:t>% of appointments were made to applicants declaring a disability.</w:t>
      </w:r>
    </w:p>
    <w:p w:rsidR="00AB20CA" w:rsidRDefault="00AB20CA">
      <w:pPr>
        <w:spacing w:after="0" w:line="240" w:lineRule="auto"/>
        <w:rPr>
          <w:rFonts w:ascii="Arial" w:hAnsi="Arial" w:cs="Arial"/>
          <w:b/>
        </w:rPr>
      </w:pPr>
      <w:r>
        <w:rPr>
          <w:rFonts w:ascii="Arial" w:hAnsi="Arial" w:cs="Arial"/>
          <w:b/>
        </w:rPr>
        <w:br w:type="page"/>
      </w:r>
    </w:p>
    <w:p w:rsidR="00712AE7" w:rsidRPr="00CD4AA4" w:rsidRDefault="00712AE7" w:rsidP="000D329A">
      <w:pPr>
        <w:rPr>
          <w:rFonts w:ascii="Arial" w:hAnsi="Arial" w:cs="Arial"/>
          <w:b/>
        </w:rPr>
      </w:pPr>
      <w:r w:rsidRPr="00CD4AA4">
        <w:rPr>
          <w:rFonts w:ascii="Arial" w:hAnsi="Arial" w:cs="Arial"/>
          <w:b/>
        </w:rPr>
        <w:lastRenderedPageBreak/>
        <w:t>4.3</w:t>
      </w:r>
      <w:r w:rsidRPr="00CD4AA4">
        <w:rPr>
          <w:rFonts w:ascii="Arial" w:hAnsi="Arial" w:cs="Arial"/>
          <w:b/>
        </w:rPr>
        <w:tab/>
        <w:t>Training and Appraisals</w:t>
      </w:r>
    </w:p>
    <w:p w:rsidR="00AB20CA" w:rsidRDefault="00712AE7" w:rsidP="000D329A">
      <w:pPr>
        <w:rPr>
          <w:rFonts w:ascii="Arial" w:hAnsi="Arial" w:cs="Arial"/>
        </w:rPr>
      </w:pPr>
      <w:r w:rsidRPr="00CD4AA4">
        <w:rPr>
          <w:rFonts w:ascii="Arial" w:hAnsi="Arial" w:cs="Arial"/>
        </w:rPr>
        <w:t xml:space="preserve">Of those that </w:t>
      </w:r>
      <w:r w:rsidR="00823291">
        <w:rPr>
          <w:rFonts w:ascii="Arial" w:hAnsi="Arial" w:cs="Arial"/>
        </w:rPr>
        <w:t xml:space="preserve">had completed </w:t>
      </w:r>
      <w:r w:rsidRPr="00CD4AA4">
        <w:rPr>
          <w:rFonts w:ascii="Arial" w:hAnsi="Arial" w:cs="Arial"/>
        </w:rPr>
        <w:t xml:space="preserve">mandatory training </w:t>
      </w:r>
      <w:r w:rsidR="00823291">
        <w:rPr>
          <w:rFonts w:ascii="Arial" w:hAnsi="Arial" w:cs="Arial"/>
        </w:rPr>
        <w:t xml:space="preserve">as at </w:t>
      </w:r>
      <w:r w:rsidR="00503C4F">
        <w:rPr>
          <w:rFonts w:ascii="Arial" w:hAnsi="Arial" w:cs="Arial"/>
        </w:rPr>
        <w:t>September 2015</w:t>
      </w:r>
      <w:r w:rsidR="00823291">
        <w:rPr>
          <w:rFonts w:ascii="Arial" w:hAnsi="Arial" w:cs="Arial"/>
        </w:rPr>
        <w:t xml:space="preserve">, </w:t>
      </w:r>
      <w:r w:rsidR="00AB20CA">
        <w:rPr>
          <w:rFonts w:ascii="Arial" w:hAnsi="Arial" w:cs="Arial"/>
        </w:rPr>
        <w:t>2.3</w:t>
      </w:r>
      <w:r w:rsidRPr="00CD4AA4">
        <w:rPr>
          <w:rFonts w:ascii="Arial" w:hAnsi="Arial" w:cs="Arial"/>
        </w:rPr>
        <w:t>% were recorded as having a disability</w:t>
      </w:r>
      <w:r w:rsidR="00AB20CA">
        <w:rPr>
          <w:rFonts w:ascii="Arial" w:hAnsi="Arial" w:cs="Arial"/>
        </w:rPr>
        <w:t>, the whole of disabled workforce.</w:t>
      </w:r>
    </w:p>
    <w:p w:rsidR="00AB20CA" w:rsidRDefault="00AB20CA" w:rsidP="000D329A">
      <w:pPr>
        <w:rPr>
          <w:rFonts w:ascii="Arial" w:hAnsi="Arial" w:cs="Arial"/>
        </w:rPr>
      </w:pPr>
      <w:r>
        <w:rPr>
          <w:noProof/>
          <w:lang w:eastAsia="en-GB"/>
        </w:rPr>
        <w:drawing>
          <wp:inline distT="0" distB="0" distL="0" distR="0" wp14:anchorId="54A3535A" wp14:editId="52B1BA2A">
            <wp:extent cx="6048375" cy="2743200"/>
            <wp:effectExtent l="0" t="0" r="9525" b="1905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B20CA" w:rsidRDefault="00EE1281" w:rsidP="000D329A">
      <w:pPr>
        <w:rPr>
          <w:rFonts w:ascii="Arial" w:hAnsi="Arial" w:cs="Arial"/>
          <w:b/>
        </w:rPr>
      </w:pPr>
      <w:r>
        <w:rPr>
          <w:rFonts w:ascii="Arial" w:hAnsi="Arial" w:cs="Arial"/>
        </w:rPr>
        <w:t xml:space="preserve">Graph 21 shows there </w:t>
      </w:r>
      <w:r w:rsidR="00AB20CA">
        <w:rPr>
          <w:rFonts w:ascii="Arial" w:hAnsi="Arial" w:cs="Arial"/>
        </w:rPr>
        <w:t xml:space="preserve">was a 5% difference between </w:t>
      </w:r>
      <w:r w:rsidR="004F1374" w:rsidRPr="00BD3DD0">
        <w:rPr>
          <w:rFonts w:ascii="Arial" w:hAnsi="Arial" w:cs="Arial"/>
        </w:rPr>
        <w:t xml:space="preserve">disabled and non-disabled staff recorded as having an </w:t>
      </w:r>
      <w:r w:rsidR="00AB20CA">
        <w:rPr>
          <w:rFonts w:ascii="Arial" w:hAnsi="Arial" w:cs="Arial"/>
        </w:rPr>
        <w:t>appraisal as at September 2015.</w:t>
      </w:r>
      <w:r w:rsidR="00AB20CA">
        <w:rPr>
          <w:rFonts w:ascii="Arial" w:hAnsi="Arial" w:cs="Arial"/>
        </w:rPr>
        <w:br/>
      </w:r>
    </w:p>
    <w:p w:rsidR="004F1374" w:rsidRDefault="004F1374" w:rsidP="000D329A">
      <w:pPr>
        <w:rPr>
          <w:rFonts w:ascii="Arial" w:hAnsi="Arial" w:cs="Arial"/>
          <w:b/>
        </w:rPr>
      </w:pPr>
      <w:r w:rsidRPr="004F1374">
        <w:rPr>
          <w:rFonts w:ascii="Arial" w:hAnsi="Arial" w:cs="Arial"/>
          <w:b/>
        </w:rPr>
        <w:t>4.4</w:t>
      </w:r>
      <w:r w:rsidRPr="004F1374">
        <w:rPr>
          <w:rFonts w:ascii="Arial" w:hAnsi="Arial" w:cs="Arial"/>
          <w:b/>
        </w:rPr>
        <w:tab/>
        <w:t xml:space="preserve"> Staff Survey</w:t>
      </w:r>
    </w:p>
    <w:p w:rsidR="004F1374" w:rsidRDefault="004F1374" w:rsidP="004F1374">
      <w:pPr>
        <w:rPr>
          <w:rFonts w:ascii="Arial" w:hAnsi="Arial" w:cs="Arial"/>
        </w:rPr>
      </w:pPr>
      <w:r w:rsidRPr="00CD4AA4">
        <w:rPr>
          <w:rFonts w:ascii="Arial" w:hAnsi="Arial" w:cs="Arial"/>
        </w:rPr>
        <w:t>The 201</w:t>
      </w:r>
      <w:r>
        <w:rPr>
          <w:rFonts w:ascii="Arial" w:hAnsi="Arial" w:cs="Arial"/>
        </w:rPr>
        <w:t>4</w:t>
      </w:r>
      <w:r w:rsidRPr="00CD4AA4">
        <w:rPr>
          <w:rFonts w:ascii="Arial" w:hAnsi="Arial" w:cs="Arial"/>
        </w:rPr>
        <w:t xml:space="preserve"> staff survey highlights some differences between disabled and non-disabled staff in relation to personal development:</w:t>
      </w:r>
    </w:p>
    <w:p w:rsidR="000D7B99" w:rsidRPr="00B26C47" w:rsidRDefault="00823291" w:rsidP="00B26C47">
      <w:pPr>
        <w:pStyle w:val="ListParagraph"/>
        <w:numPr>
          <w:ilvl w:val="0"/>
          <w:numId w:val="43"/>
        </w:numPr>
        <w:rPr>
          <w:rFonts w:ascii="Arial" w:hAnsi="Arial" w:cs="Arial"/>
        </w:rPr>
      </w:pPr>
      <w:r>
        <w:rPr>
          <w:rFonts w:ascii="Arial" w:hAnsi="Arial" w:cs="Arial"/>
        </w:rPr>
        <w:t>53</w:t>
      </w:r>
      <w:r w:rsidR="00712AE7" w:rsidRPr="00B26C47">
        <w:rPr>
          <w:rFonts w:ascii="Arial" w:hAnsi="Arial" w:cs="Arial"/>
        </w:rPr>
        <w:t xml:space="preserve">% of disabled staff responded to </w:t>
      </w:r>
      <w:r>
        <w:rPr>
          <w:rFonts w:ascii="Arial" w:hAnsi="Arial" w:cs="Arial"/>
        </w:rPr>
        <w:t xml:space="preserve">suffering work-related stress in the last 12 months </w:t>
      </w:r>
      <w:r w:rsidR="00712AE7" w:rsidRPr="00B26C47">
        <w:rPr>
          <w:rFonts w:ascii="Arial" w:hAnsi="Arial" w:cs="Arial"/>
        </w:rPr>
        <w:t xml:space="preserve">compared to </w:t>
      </w:r>
      <w:r>
        <w:rPr>
          <w:rFonts w:ascii="Arial" w:hAnsi="Arial" w:cs="Arial"/>
        </w:rPr>
        <w:t>37</w:t>
      </w:r>
      <w:r w:rsidR="00712AE7" w:rsidRPr="00B26C47">
        <w:rPr>
          <w:rFonts w:ascii="Arial" w:hAnsi="Arial" w:cs="Arial"/>
        </w:rPr>
        <w:t>% of non-disabled colleagues.</w:t>
      </w:r>
      <w:r w:rsidR="00712AE7" w:rsidRPr="00B26C47">
        <w:rPr>
          <w:rFonts w:ascii="Arial" w:hAnsi="Arial" w:cs="Arial"/>
        </w:rPr>
        <w:br/>
      </w:r>
    </w:p>
    <w:p w:rsidR="00712AE7" w:rsidRPr="00B26C47" w:rsidRDefault="00823291" w:rsidP="00B26C47">
      <w:pPr>
        <w:pStyle w:val="ListParagraph"/>
        <w:numPr>
          <w:ilvl w:val="0"/>
          <w:numId w:val="43"/>
        </w:numPr>
        <w:rPr>
          <w:rFonts w:ascii="Arial" w:hAnsi="Arial" w:cs="Arial"/>
        </w:rPr>
      </w:pPr>
      <w:r>
        <w:rPr>
          <w:rFonts w:ascii="Arial" w:hAnsi="Arial" w:cs="Arial"/>
        </w:rPr>
        <w:t>38</w:t>
      </w:r>
      <w:r w:rsidR="00712AE7" w:rsidRPr="00B26C47">
        <w:rPr>
          <w:rFonts w:ascii="Arial" w:hAnsi="Arial" w:cs="Arial"/>
        </w:rPr>
        <w:t xml:space="preserve">% of disabled staff responded to having </w:t>
      </w:r>
      <w:r>
        <w:rPr>
          <w:rFonts w:ascii="Arial" w:hAnsi="Arial" w:cs="Arial"/>
        </w:rPr>
        <w:t xml:space="preserve">experienced harassment, bullying or abuse from patients or relatives or the public in the last 12 months, </w:t>
      </w:r>
      <w:r w:rsidR="00712AE7" w:rsidRPr="00B26C47">
        <w:rPr>
          <w:rFonts w:ascii="Arial" w:hAnsi="Arial" w:cs="Arial"/>
        </w:rPr>
        <w:t xml:space="preserve">compared to </w:t>
      </w:r>
      <w:r>
        <w:rPr>
          <w:rFonts w:ascii="Arial" w:hAnsi="Arial" w:cs="Arial"/>
        </w:rPr>
        <w:t>28</w:t>
      </w:r>
      <w:r w:rsidR="00712AE7" w:rsidRPr="00B26C47">
        <w:rPr>
          <w:rFonts w:ascii="Arial" w:hAnsi="Arial" w:cs="Arial"/>
        </w:rPr>
        <w:t>% of non-disabled colleagues.</w:t>
      </w:r>
      <w:r w:rsidR="00712AE7" w:rsidRPr="00B26C47">
        <w:rPr>
          <w:rFonts w:ascii="Arial" w:hAnsi="Arial" w:cs="Arial"/>
        </w:rPr>
        <w:br/>
      </w:r>
    </w:p>
    <w:p w:rsidR="00823291" w:rsidRPr="00B26C47" w:rsidRDefault="00823291" w:rsidP="00823291">
      <w:pPr>
        <w:pStyle w:val="ListParagraph"/>
        <w:numPr>
          <w:ilvl w:val="0"/>
          <w:numId w:val="43"/>
        </w:numPr>
        <w:rPr>
          <w:rFonts w:ascii="Arial" w:hAnsi="Arial" w:cs="Arial"/>
        </w:rPr>
      </w:pPr>
      <w:r>
        <w:rPr>
          <w:rFonts w:ascii="Arial" w:hAnsi="Arial" w:cs="Arial"/>
        </w:rPr>
        <w:t>34</w:t>
      </w:r>
      <w:r w:rsidRPr="00B26C47">
        <w:rPr>
          <w:rFonts w:ascii="Arial" w:hAnsi="Arial" w:cs="Arial"/>
        </w:rPr>
        <w:t xml:space="preserve">% of disabled staff responded to having </w:t>
      </w:r>
      <w:r>
        <w:rPr>
          <w:rFonts w:ascii="Arial" w:hAnsi="Arial" w:cs="Arial"/>
        </w:rPr>
        <w:t xml:space="preserve">experienced harassment, bullying or abuse from staff in the last 12 months, </w:t>
      </w:r>
      <w:r w:rsidRPr="00B26C47">
        <w:rPr>
          <w:rFonts w:ascii="Arial" w:hAnsi="Arial" w:cs="Arial"/>
        </w:rPr>
        <w:t xml:space="preserve">compared to </w:t>
      </w:r>
      <w:r>
        <w:rPr>
          <w:rFonts w:ascii="Arial" w:hAnsi="Arial" w:cs="Arial"/>
        </w:rPr>
        <w:t>23</w:t>
      </w:r>
      <w:r w:rsidRPr="00B26C47">
        <w:rPr>
          <w:rFonts w:ascii="Arial" w:hAnsi="Arial" w:cs="Arial"/>
        </w:rPr>
        <w:t>% of non-disabled colleagues.</w:t>
      </w:r>
      <w:r w:rsidRPr="00B26C47">
        <w:rPr>
          <w:rFonts w:ascii="Arial" w:hAnsi="Arial" w:cs="Arial"/>
        </w:rPr>
        <w:br/>
      </w:r>
    </w:p>
    <w:p w:rsidR="00823291" w:rsidRDefault="00823291" w:rsidP="00B26C47">
      <w:pPr>
        <w:pStyle w:val="ListParagraph"/>
        <w:numPr>
          <w:ilvl w:val="0"/>
          <w:numId w:val="43"/>
        </w:numPr>
        <w:rPr>
          <w:rFonts w:ascii="Arial" w:hAnsi="Arial" w:cs="Arial"/>
        </w:rPr>
      </w:pPr>
      <w:r>
        <w:rPr>
          <w:rFonts w:ascii="Arial" w:hAnsi="Arial" w:cs="Arial"/>
        </w:rPr>
        <w:t>42% of disabled staff felt pressure in the last 3 months to attend work when feeling unwell compared to 25% of non-disabled colleagues.</w:t>
      </w:r>
      <w:r>
        <w:rPr>
          <w:rFonts w:ascii="Arial" w:hAnsi="Arial" w:cs="Arial"/>
        </w:rPr>
        <w:br/>
      </w:r>
    </w:p>
    <w:p w:rsidR="00823291" w:rsidRDefault="00823291" w:rsidP="00B26C47">
      <w:pPr>
        <w:pStyle w:val="ListParagraph"/>
        <w:numPr>
          <w:ilvl w:val="0"/>
          <w:numId w:val="43"/>
        </w:numPr>
        <w:rPr>
          <w:rFonts w:ascii="Arial" w:hAnsi="Arial" w:cs="Arial"/>
        </w:rPr>
      </w:pPr>
      <w:r>
        <w:rPr>
          <w:rFonts w:ascii="Arial" w:hAnsi="Arial" w:cs="Arial"/>
        </w:rPr>
        <w:t>54% of disabled staff felt able to contribute to improvements at w</w:t>
      </w:r>
      <w:r w:rsidR="004F1374">
        <w:rPr>
          <w:rFonts w:ascii="Arial" w:hAnsi="Arial" w:cs="Arial"/>
        </w:rPr>
        <w:t>o</w:t>
      </w:r>
      <w:r>
        <w:rPr>
          <w:rFonts w:ascii="Arial" w:hAnsi="Arial" w:cs="Arial"/>
        </w:rPr>
        <w:t>rk compared to 66% of non-disabled colleagues.</w:t>
      </w:r>
      <w:r>
        <w:rPr>
          <w:rFonts w:ascii="Arial" w:hAnsi="Arial" w:cs="Arial"/>
        </w:rPr>
        <w:br/>
      </w:r>
    </w:p>
    <w:p w:rsidR="00823291" w:rsidRDefault="00823291" w:rsidP="00B26C47">
      <w:pPr>
        <w:pStyle w:val="ListParagraph"/>
        <w:numPr>
          <w:ilvl w:val="0"/>
          <w:numId w:val="43"/>
        </w:numPr>
        <w:rPr>
          <w:rFonts w:ascii="Arial" w:hAnsi="Arial" w:cs="Arial"/>
        </w:rPr>
      </w:pPr>
      <w:r>
        <w:rPr>
          <w:rFonts w:ascii="Arial" w:hAnsi="Arial" w:cs="Arial"/>
        </w:rPr>
        <w:t xml:space="preserve">74% of disabled staff believed that the trust provides equal opportunities for progression at work compared to </w:t>
      </w:r>
      <w:r w:rsidR="004F1374">
        <w:rPr>
          <w:rFonts w:ascii="Arial" w:hAnsi="Arial" w:cs="Arial"/>
        </w:rPr>
        <w:t>85% of non-disabled colleagues.</w:t>
      </w:r>
      <w:r w:rsidR="004F1374">
        <w:rPr>
          <w:rFonts w:ascii="Arial" w:hAnsi="Arial" w:cs="Arial"/>
        </w:rPr>
        <w:br/>
      </w:r>
    </w:p>
    <w:p w:rsidR="00712AE7" w:rsidRPr="00CD4AA4" w:rsidRDefault="00712AE7" w:rsidP="000D329A">
      <w:pPr>
        <w:rPr>
          <w:rFonts w:ascii="Arial" w:hAnsi="Arial" w:cs="Arial"/>
          <w:b/>
        </w:rPr>
      </w:pPr>
      <w:r w:rsidRPr="00CD4AA4">
        <w:rPr>
          <w:rFonts w:ascii="Arial" w:hAnsi="Arial" w:cs="Arial"/>
          <w:b/>
        </w:rPr>
        <w:lastRenderedPageBreak/>
        <w:t>4.5</w:t>
      </w:r>
      <w:r w:rsidRPr="00CD4AA4">
        <w:rPr>
          <w:rFonts w:ascii="Arial" w:hAnsi="Arial" w:cs="Arial"/>
          <w:b/>
        </w:rPr>
        <w:tab/>
        <w:t>Disability - Observations</w:t>
      </w:r>
    </w:p>
    <w:p w:rsidR="000D7B99" w:rsidRPr="0090480B" w:rsidRDefault="0090480B" w:rsidP="00503C4F">
      <w:pPr>
        <w:pStyle w:val="ListParagraph"/>
        <w:numPr>
          <w:ilvl w:val="0"/>
          <w:numId w:val="49"/>
        </w:numPr>
        <w:rPr>
          <w:rFonts w:ascii="Arial" w:hAnsi="Arial" w:cs="Arial"/>
        </w:rPr>
      </w:pPr>
      <w:r w:rsidRPr="0090480B">
        <w:rPr>
          <w:rFonts w:ascii="Arial" w:hAnsi="Arial" w:cs="Arial"/>
        </w:rPr>
        <w:t>The w</w:t>
      </w:r>
      <w:r w:rsidR="00712AE7" w:rsidRPr="0090480B">
        <w:rPr>
          <w:rFonts w:ascii="Arial" w:hAnsi="Arial" w:cs="Arial"/>
        </w:rPr>
        <w:t xml:space="preserve">orkforce comparison against </w:t>
      </w:r>
      <w:r w:rsidRPr="0090480B">
        <w:rPr>
          <w:rFonts w:ascii="Arial" w:hAnsi="Arial" w:cs="Arial"/>
        </w:rPr>
        <w:t xml:space="preserve">the </w:t>
      </w:r>
      <w:r w:rsidR="00712AE7" w:rsidRPr="0090480B">
        <w:rPr>
          <w:rFonts w:ascii="Arial" w:hAnsi="Arial" w:cs="Arial"/>
        </w:rPr>
        <w:t>local population suggests u</w:t>
      </w:r>
      <w:r w:rsidR="00B26C47" w:rsidRPr="0090480B">
        <w:rPr>
          <w:rFonts w:ascii="Arial" w:hAnsi="Arial" w:cs="Arial"/>
        </w:rPr>
        <w:t>nder reporting of disabilities.</w:t>
      </w:r>
      <w:r w:rsidRPr="0090480B">
        <w:rPr>
          <w:rFonts w:ascii="Arial" w:hAnsi="Arial" w:cs="Arial"/>
        </w:rPr>
        <w:t xml:space="preserve">  It hoped that this will be addressed via the data collection exercise scheduled for Q3/Q4 2015/16.</w:t>
      </w:r>
      <w:r w:rsidRPr="0090480B">
        <w:rPr>
          <w:rFonts w:ascii="Arial" w:hAnsi="Arial" w:cs="Arial"/>
        </w:rPr>
        <w:br/>
        <w:t xml:space="preserve"> </w:t>
      </w:r>
    </w:p>
    <w:p w:rsidR="000D7B99" w:rsidRPr="0090480B" w:rsidRDefault="00712AE7" w:rsidP="00503C4F">
      <w:pPr>
        <w:pStyle w:val="ListParagraph"/>
        <w:numPr>
          <w:ilvl w:val="0"/>
          <w:numId w:val="49"/>
        </w:numPr>
        <w:rPr>
          <w:rFonts w:ascii="Arial" w:hAnsi="Arial" w:cs="Arial"/>
        </w:rPr>
      </w:pPr>
      <w:r w:rsidRPr="0090480B">
        <w:rPr>
          <w:rFonts w:ascii="Arial" w:hAnsi="Arial" w:cs="Arial"/>
        </w:rPr>
        <w:t>Further investigation is required into the relatively low p</w:t>
      </w:r>
      <w:r w:rsidR="00B26C47" w:rsidRPr="0090480B">
        <w:rPr>
          <w:rFonts w:ascii="Arial" w:hAnsi="Arial" w:cs="Arial"/>
        </w:rPr>
        <w:t>roportion of disabled recruits.</w:t>
      </w:r>
      <w:r w:rsidR="0090480B" w:rsidRPr="0090480B">
        <w:rPr>
          <w:rFonts w:ascii="Arial" w:hAnsi="Arial" w:cs="Arial"/>
        </w:rPr>
        <w:br/>
      </w:r>
    </w:p>
    <w:p w:rsidR="00B26C47" w:rsidRPr="0090480B" w:rsidRDefault="00712AE7" w:rsidP="00503C4F">
      <w:pPr>
        <w:pStyle w:val="ListParagraph"/>
        <w:numPr>
          <w:ilvl w:val="0"/>
          <w:numId w:val="49"/>
        </w:numPr>
        <w:rPr>
          <w:rFonts w:cs="Arial"/>
          <w:b/>
        </w:rPr>
      </w:pPr>
      <w:r w:rsidRPr="0090480B">
        <w:rPr>
          <w:rFonts w:ascii="Arial" w:hAnsi="Arial" w:cs="Arial"/>
        </w:rPr>
        <w:t>There are some notable differences within staff survey, warranting further investigation.</w:t>
      </w:r>
      <w:r w:rsidRPr="0090480B">
        <w:rPr>
          <w:rFonts w:ascii="Arial" w:hAnsi="Arial" w:cs="Arial"/>
        </w:rPr>
        <w:br/>
      </w:r>
    </w:p>
    <w:p w:rsidR="00712AE7" w:rsidRPr="004F1374" w:rsidRDefault="00712AE7" w:rsidP="000D329A">
      <w:pPr>
        <w:rPr>
          <w:rFonts w:ascii="Arial" w:hAnsi="Arial" w:cs="Arial"/>
          <w:b/>
        </w:rPr>
      </w:pPr>
      <w:r w:rsidRPr="004F1374">
        <w:rPr>
          <w:rFonts w:ascii="Arial" w:hAnsi="Arial" w:cs="Arial"/>
          <w:b/>
        </w:rPr>
        <w:t>5.0</w:t>
      </w:r>
      <w:r w:rsidRPr="004F1374">
        <w:rPr>
          <w:rFonts w:ascii="Arial" w:hAnsi="Arial" w:cs="Arial"/>
          <w:b/>
        </w:rPr>
        <w:tab/>
        <w:t>Age</w:t>
      </w:r>
    </w:p>
    <w:p w:rsidR="00712AE7" w:rsidRDefault="00712AE7" w:rsidP="000D329A">
      <w:pPr>
        <w:rPr>
          <w:rFonts w:ascii="Arial" w:hAnsi="Arial" w:cs="Arial"/>
          <w:b/>
        </w:rPr>
      </w:pPr>
      <w:r w:rsidRPr="004F1374">
        <w:rPr>
          <w:rFonts w:ascii="Arial" w:hAnsi="Arial" w:cs="Arial"/>
          <w:b/>
        </w:rPr>
        <w:t>5.1</w:t>
      </w:r>
      <w:r w:rsidRPr="004F1374">
        <w:rPr>
          <w:rFonts w:ascii="Arial" w:hAnsi="Arial" w:cs="Arial"/>
          <w:b/>
        </w:rPr>
        <w:tab/>
        <w:t>Age Profile</w:t>
      </w:r>
    </w:p>
    <w:p w:rsidR="0090480B" w:rsidRDefault="0090480B" w:rsidP="000D329A">
      <w:pPr>
        <w:rPr>
          <w:rFonts w:ascii="Arial" w:hAnsi="Arial" w:cs="Arial"/>
          <w:b/>
        </w:rPr>
      </w:pPr>
      <w:r>
        <w:rPr>
          <w:noProof/>
          <w:lang w:eastAsia="en-GB"/>
        </w:rPr>
        <w:drawing>
          <wp:inline distT="0" distB="0" distL="0" distR="0" wp14:anchorId="59788FC1" wp14:editId="66A36733">
            <wp:extent cx="5943600" cy="2933700"/>
            <wp:effectExtent l="0" t="0" r="19050" b="1905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12AE7" w:rsidRDefault="00712AE7" w:rsidP="000D329A">
      <w:pPr>
        <w:rPr>
          <w:rFonts w:ascii="Arial" w:hAnsi="Arial" w:cs="Arial"/>
        </w:rPr>
      </w:pPr>
      <w:r w:rsidRPr="00D62204">
        <w:rPr>
          <w:rFonts w:ascii="Arial" w:hAnsi="Arial" w:cs="Arial"/>
        </w:rPr>
        <w:t xml:space="preserve">Graph </w:t>
      </w:r>
      <w:r w:rsidR="00EE1281">
        <w:rPr>
          <w:rFonts w:ascii="Arial" w:hAnsi="Arial" w:cs="Arial"/>
        </w:rPr>
        <w:t>22</w:t>
      </w:r>
      <w:r w:rsidRPr="00D62204">
        <w:rPr>
          <w:rFonts w:ascii="Arial" w:hAnsi="Arial" w:cs="Arial"/>
        </w:rPr>
        <w:t xml:space="preserve"> shows </w:t>
      </w:r>
      <w:r w:rsidR="00D62204" w:rsidRPr="00D62204">
        <w:rPr>
          <w:rFonts w:ascii="Arial" w:hAnsi="Arial" w:cs="Arial"/>
        </w:rPr>
        <w:t xml:space="preserve">the age distribution </w:t>
      </w:r>
      <w:r w:rsidRPr="00D62204">
        <w:rPr>
          <w:rFonts w:ascii="Arial" w:hAnsi="Arial" w:cs="Arial"/>
        </w:rPr>
        <w:t xml:space="preserve">across the Trust </w:t>
      </w:r>
      <w:r w:rsidR="00D62204" w:rsidRPr="00D62204">
        <w:rPr>
          <w:rFonts w:ascii="Arial" w:hAnsi="Arial" w:cs="Arial"/>
        </w:rPr>
        <w:t xml:space="preserve">as at September 2015.  </w:t>
      </w:r>
      <w:r w:rsidRPr="00D62204">
        <w:rPr>
          <w:rFonts w:ascii="Arial" w:hAnsi="Arial" w:cs="Arial"/>
        </w:rPr>
        <w:t xml:space="preserve">The overall profile for the Trust remains largely unchanged </w:t>
      </w:r>
      <w:r w:rsidR="00D62204" w:rsidRPr="00D62204">
        <w:rPr>
          <w:rFonts w:ascii="Arial" w:hAnsi="Arial" w:cs="Arial"/>
        </w:rPr>
        <w:t xml:space="preserve">over the past two years </w:t>
      </w:r>
      <w:r w:rsidRPr="00D62204">
        <w:rPr>
          <w:rFonts w:ascii="Arial" w:hAnsi="Arial" w:cs="Arial"/>
        </w:rPr>
        <w:t xml:space="preserve">with </w:t>
      </w:r>
      <w:r w:rsidR="00C82802" w:rsidRPr="00D62204">
        <w:rPr>
          <w:rFonts w:ascii="Arial" w:hAnsi="Arial" w:cs="Arial"/>
        </w:rPr>
        <w:t xml:space="preserve">around </w:t>
      </w:r>
      <w:r w:rsidRPr="00D62204">
        <w:rPr>
          <w:rFonts w:ascii="Arial" w:hAnsi="Arial" w:cs="Arial"/>
        </w:rPr>
        <w:t>two thirds of staff within the age range 26-50</w:t>
      </w:r>
      <w:r w:rsidR="00C82802" w:rsidRPr="00D62204">
        <w:rPr>
          <w:rFonts w:ascii="Arial" w:hAnsi="Arial" w:cs="Arial"/>
        </w:rPr>
        <w:t xml:space="preserve"> and almost a third of staff over 50</w:t>
      </w:r>
      <w:r w:rsidRPr="00D62204">
        <w:rPr>
          <w:rFonts w:ascii="Arial" w:hAnsi="Arial" w:cs="Arial"/>
        </w:rPr>
        <w:t>.</w:t>
      </w:r>
    </w:p>
    <w:p w:rsidR="00C82802" w:rsidRDefault="00C82802" w:rsidP="000D329A">
      <w:pPr>
        <w:rPr>
          <w:rFonts w:ascii="Arial" w:hAnsi="Arial" w:cs="Arial"/>
        </w:rPr>
      </w:pPr>
    </w:p>
    <w:p w:rsidR="00D62204" w:rsidRDefault="00D62204" w:rsidP="000D329A">
      <w:pPr>
        <w:rPr>
          <w:rFonts w:ascii="Arial" w:hAnsi="Arial" w:cs="Arial"/>
        </w:rPr>
      </w:pPr>
    </w:p>
    <w:p w:rsidR="00D62204" w:rsidRDefault="00D62204" w:rsidP="000D329A">
      <w:pPr>
        <w:rPr>
          <w:rFonts w:ascii="Arial" w:hAnsi="Arial" w:cs="Arial"/>
        </w:rPr>
      </w:pPr>
    </w:p>
    <w:p w:rsidR="00D62204" w:rsidRDefault="00D62204" w:rsidP="000D329A">
      <w:pPr>
        <w:rPr>
          <w:rFonts w:ascii="Arial" w:hAnsi="Arial" w:cs="Arial"/>
        </w:rPr>
      </w:pPr>
    </w:p>
    <w:p w:rsidR="00D62204" w:rsidRDefault="00D62204" w:rsidP="000D329A">
      <w:pPr>
        <w:rPr>
          <w:rFonts w:ascii="Arial" w:hAnsi="Arial" w:cs="Arial"/>
        </w:rPr>
      </w:pPr>
    </w:p>
    <w:p w:rsidR="00D62204" w:rsidRDefault="00D62204" w:rsidP="000D329A">
      <w:pPr>
        <w:rPr>
          <w:rFonts w:ascii="Arial" w:hAnsi="Arial" w:cs="Arial"/>
        </w:rPr>
      </w:pPr>
    </w:p>
    <w:p w:rsidR="00D62204" w:rsidRDefault="00D62204" w:rsidP="000D329A">
      <w:pPr>
        <w:rPr>
          <w:rFonts w:ascii="Arial" w:hAnsi="Arial" w:cs="Arial"/>
        </w:rPr>
      </w:pPr>
    </w:p>
    <w:p w:rsidR="00D62204" w:rsidRDefault="00D62204" w:rsidP="000D329A">
      <w:pPr>
        <w:rPr>
          <w:rFonts w:ascii="Arial" w:hAnsi="Arial" w:cs="Arial"/>
        </w:rPr>
      </w:pPr>
    </w:p>
    <w:p w:rsidR="00D62204" w:rsidRDefault="00D62204" w:rsidP="000D329A">
      <w:pPr>
        <w:rPr>
          <w:rFonts w:ascii="Arial" w:hAnsi="Arial" w:cs="Arial"/>
        </w:rPr>
      </w:pPr>
      <w:r>
        <w:rPr>
          <w:noProof/>
          <w:lang w:eastAsia="en-GB"/>
        </w:rPr>
        <w:lastRenderedPageBreak/>
        <w:drawing>
          <wp:inline distT="0" distB="0" distL="0" distR="0" wp14:anchorId="0423189C" wp14:editId="2CE84684">
            <wp:extent cx="6143625" cy="3200400"/>
            <wp:effectExtent l="0" t="0" r="9525" b="1905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62204" w:rsidRDefault="00D62204" w:rsidP="000D329A">
      <w:pPr>
        <w:rPr>
          <w:rFonts w:ascii="Arial" w:hAnsi="Arial" w:cs="Arial"/>
        </w:rPr>
      </w:pPr>
    </w:p>
    <w:p w:rsidR="00712AE7" w:rsidRDefault="00712AE7" w:rsidP="000D329A">
      <w:pPr>
        <w:rPr>
          <w:rFonts w:ascii="Arial" w:hAnsi="Arial" w:cs="Arial"/>
        </w:rPr>
      </w:pPr>
      <w:r w:rsidRPr="00CD4AA4">
        <w:rPr>
          <w:rFonts w:ascii="Arial" w:hAnsi="Arial" w:cs="Arial"/>
        </w:rPr>
        <w:t xml:space="preserve">Graph </w:t>
      </w:r>
      <w:r w:rsidR="00EE1281">
        <w:rPr>
          <w:rFonts w:ascii="Arial" w:hAnsi="Arial" w:cs="Arial"/>
        </w:rPr>
        <w:t>23</w:t>
      </w:r>
      <w:r w:rsidRPr="00CD4AA4">
        <w:rPr>
          <w:rFonts w:ascii="Arial" w:hAnsi="Arial" w:cs="Arial"/>
        </w:rPr>
        <w:t xml:space="preserve"> - around </w:t>
      </w:r>
      <w:r w:rsidR="00D62204">
        <w:rPr>
          <w:rFonts w:ascii="Arial" w:hAnsi="Arial" w:cs="Arial"/>
        </w:rPr>
        <w:t>22</w:t>
      </w:r>
      <w:r w:rsidRPr="00CD4AA4">
        <w:rPr>
          <w:rFonts w:ascii="Arial" w:hAnsi="Arial" w:cs="Arial"/>
        </w:rPr>
        <w:t xml:space="preserve">% of Qualified Nursing and Midwifery staff are over </w:t>
      </w:r>
      <w:r w:rsidR="00B26CA6">
        <w:rPr>
          <w:rFonts w:ascii="Arial" w:hAnsi="Arial" w:cs="Arial"/>
        </w:rPr>
        <w:t>50</w:t>
      </w:r>
      <w:r w:rsidRPr="00CD4AA4">
        <w:rPr>
          <w:rFonts w:ascii="Arial" w:hAnsi="Arial" w:cs="Arial"/>
        </w:rPr>
        <w:t xml:space="preserve"> with </w:t>
      </w:r>
      <w:r w:rsidR="00D62204">
        <w:rPr>
          <w:rFonts w:ascii="Arial" w:hAnsi="Arial" w:cs="Arial"/>
        </w:rPr>
        <w:t>10</w:t>
      </w:r>
      <w:r w:rsidRPr="00CD4AA4">
        <w:rPr>
          <w:rFonts w:ascii="Arial" w:hAnsi="Arial" w:cs="Arial"/>
        </w:rPr>
        <w:t xml:space="preserve">% over </w:t>
      </w:r>
      <w:r w:rsidR="00B26CA6">
        <w:rPr>
          <w:rFonts w:ascii="Arial" w:hAnsi="Arial" w:cs="Arial"/>
        </w:rPr>
        <w:t>55</w:t>
      </w:r>
      <w:r w:rsidR="00C82802">
        <w:rPr>
          <w:rFonts w:ascii="Arial" w:hAnsi="Arial" w:cs="Arial"/>
        </w:rPr>
        <w:t xml:space="preserve">, which </w:t>
      </w:r>
      <w:r w:rsidR="00B26CA6">
        <w:rPr>
          <w:rFonts w:ascii="Arial" w:hAnsi="Arial" w:cs="Arial"/>
        </w:rPr>
        <w:t xml:space="preserve">is a slight </w:t>
      </w:r>
      <w:r w:rsidR="00D62204">
        <w:rPr>
          <w:rFonts w:ascii="Arial" w:hAnsi="Arial" w:cs="Arial"/>
        </w:rPr>
        <w:t>increase since last year</w:t>
      </w:r>
      <w:r w:rsidR="00B26CA6">
        <w:rPr>
          <w:rFonts w:ascii="Arial" w:hAnsi="Arial" w:cs="Arial"/>
        </w:rPr>
        <w:t xml:space="preserve"> and represents a rise over 6 of the last 7 years.</w:t>
      </w:r>
      <w:r w:rsidR="00C82802">
        <w:rPr>
          <w:rFonts w:ascii="Arial" w:hAnsi="Arial" w:cs="Arial"/>
        </w:rPr>
        <w:t xml:space="preserve">  </w:t>
      </w:r>
    </w:p>
    <w:p w:rsidR="0041665E" w:rsidRDefault="00B26CA6" w:rsidP="000D329A">
      <w:pPr>
        <w:rPr>
          <w:rFonts w:ascii="Arial" w:hAnsi="Arial" w:cs="Arial"/>
        </w:rPr>
      </w:pPr>
      <w:r>
        <w:rPr>
          <w:rFonts w:ascii="Arial" w:hAnsi="Arial" w:cs="Arial"/>
        </w:rPr>
        <w:t>Around 37</w:t>
      </w:r>
      <w:r w:rsidR="00712AE7" w:rsidRPr="00CD4AA4">
        <w:rPr>
          <w:rFonts w:ascii="Arial" w:hAnsi="Arial" w:cs="Arial"/>
        </w:rPr>
        <w:t xml:space="preserve">% of </w:t>
      </w:r>
      <w:r>
        <w:rPr>
          <w:rFonts w:ascii="Arial" w:hAnsi="Arial" w:cs="Arial"/>
        </w:rPr>
        <w:t xml:space="preserve">senior medics </w:t>
      </w:r>
      <w:r w:rsidR="00712AE7" w:rsidRPr="00CD4AA4">
        <w:rPr>
          <w:rFonts w:ascii="Arial" w:hAnsi="Arial" w:cs="Arial"/>
        </w:rPr>
        <w:t xml:space="preserve">are over </w:t>
      </w:r>
      <w:r>
        <w:rPr>
          <w:rFonts w:ascii="Arial" w:hAnsi="Arial" w:cs="Arial"/>
        </w:rPr>
        <w:t>50</w:t>
      </w:r>
      <w:r w:rsidR="0041665E">
        <w:rPr>
          <w:rFonts w:ascii="Arial" w:hAnsi="Arial" w:cs="Arial"/>
        </w:rPr>
        <w:t xml:space="preserve">, </w:t>
      </w:r>
      <w:r>
        <w:rPr>
          <w:rFonts w:ascii="Arial" w:hAnsi="Arial" w:cs="Arial"/>
        </w:rPr>
        <w:t>with 20% over the age of 55.</w:t>
      </w:r>
    </w:p>
    <w:p w:rsidR="000D7B99" w:rsidRDefault="00B26CA6" w:rsidP="000D329A">
      <w:pPr>
        <w:rPr>
          <w:rFonts w:ascii="Arial" w:hAnsi="Arial" w:cs="Arial"/>
        </w:rPr>
      </w:pPr>
      <w:r>
        <w:rPr>
          <w:rFonts w:ascii="Arial" w:hAnsi="Arial" w:cs="Arial"/>
        </w:rPr>
        <w:t>Around 54</w:t>
      </w:r>
      <w:r w:rsidR="00712AE7" w:rsidRPr="00CD4AA4">
        <w:rPr>
          <w:rFonts w:ascii="Arial" w:hAnsi="Arial" w:cs="Arial"/>
        </w:rPr>
        <w:t xml:space="preserve">% of maintenance staff are over </w:t>
      </w:r>
      <w:r w:rsidR="00712AE7" w:rsidRPr="007E6BCC">
        <w:rPr>
          <w:rFonts w:ascii="Arial" w:hAnsi="Arial" w:cs="Arial"/>
        </w:rPr>
        <w:t>50</w:t>
      </w:r>
      <w:r w:rsidR="007E6BCC">
        <w:rPr>
          <w:rFonts w:ascii="Arial" w:hAnsi="Arial" w:cs="Arial"/>
        </w:rPr>
        <w:t xml:space="preserve"> a</w:t>
      </w:r>
      <w:r>
        <w:rPr>
          <w:rFonts w:ascii="Arial" w:hAnsi="Arial" w:cs="Arial"/>
        </w:rPr>
        <w:t xml:space="preserve"> decrease of 3</w:t>
      </w:r>
      <w:r w:rsidR="007E6BCC">
        <w:rPr>
          <w:rFonts w:ascii="Arial" w:hAnsi="Arial" w:cs="Arial"/>
        </w:rPr>
        <w:t xml:space="preserve">% from </w:t>
      </w:r>
      <w:r w:rsidR="007D3F80">
        <w:rPr>
          <w:rFonts w:ascii="Arial" w:hAnsi="Arial" w:cs="Arial"/>
        </w:rPr>
        <w:t xml:space="preserve">January 2015.  </w:t>
      </w:r>
      <w:r w:rsidR="00712AE7" w:rsidRPr="00CD4AA4">
        <w:rPr>
          <w:rFonts w:ascii="Arial" w:hAnsi="Arial" w:cs="Arial"/>
        </w:rPr>
        <w:t xml:space="preserve">Whilst there are no current issues recruiting into these roles, pro-active management within this area, supporting development opportunities for current staff to acquire new skills means that staff are better placed to apply for future roles when they become available. </w:t>
      </w:r>
      <w:r w:rsidR="007D3F80">
        <w:rPr>
          <w:rFonts w:ascii="Arial" w:hAnsi="Arial" w:cs="Arial"/>
        </w:rPr>
        <w:t xml:space="preserve">A </w:t>
      </w:r>
      <w:r w:rsidR="00712AE7" w:rsidRPr="007D3F80">
        <w:rPr>
          <w:rFonts w:ascii="Arial" w:hAnsi="Arial" w:cs="Arial"/>
        </w:rPr>
        <w:t>Modern Apprenticeship scheme</w:t>
      </w:r>
      <w:r w:rsidR="007D3F80" w:rsidRPr="007D3F80">
        <w:rPr>
          <w:rFonts w:ascii="Arial" w:hAnsi="Arial" w:cs="Arial"/>
        </w:rPr>
        <w:t xml:space="preserve"> is also being implemented</w:t>
      </w:r>
      <w:r w:rsidR="00712AE7" w:rsidRPr="007D3F80">
        <w:rPr>
          <w:rFonts w:ascii="Arial" w:hAnsi="Arial" w:cs="Arial"/>
        </w:rPr>
        <w:t>.</w:t>
      </w:r>
    </w:p>
    <w:p w:rsidR="00B26CA6" w:rsidRDefault="00B26CA6">
      <w:pPr>
        <w:spacing w:after="0" w:line="240" w:lineRule="auto"/>
        <w:rPr>
          <w:rFonts w:ascii="Arial" w:hAnsi="Arial" w:cs="Arial"/>
        </w:rPr>
      </w:pPr>
      <w:r>
        <w:rPr>
          <w:rFonts w:ascii="Arial" w:hAnsi="Arial" w:cs="Arial"/>
        </w:rPr>
        <w:br w:type="page"/>
      </w:r>
    </w:p>
    <w:p w:rsidR="00B26CA6" w:rsidRDefault="00712AE7" w:rsidP="000D329A">
      <w:pPr>
        <w:rPr>
          <w:rFonts w:ascii="Arial" w:hAnsi="Arial" w:cs="Arial"/>
          <w:b/>
        </w:rPr>
      </w:pPr>
      <w:r w:rsidRPr="00CD4AA4">
        <w:rPr>
          <w:rFonts w:ascii="Arial" w:hAnsi="Arial" w:cs="Arial"/>
          <w:b/>
        </w:rPr>
        <w:lastRenderedPageBreak/>
        <w:t>5.2</w:t>
      </w:r>
      <w:r w:rsidRPr="00CD4AA4">
        <w:rPr>
          <w:rFonts w:ascii="Arial" w:hAnsi="Arial" w:cs="Arial"/>
          <w:b/>
        </w:rPr>
        <w:tab/>
        <w:t>Recruitment</w:t>
      </w:r>
    </w:p>
    <w:p w:rsidR="00416AA2" w:rsidRDefault="00C45B72" w:rsidP="000D329A">
      <w:pPr>
        <w:rPr>
          <w:rFonts w:ascii="Arial" w:hAnsi="Arial" w:cs="Arial"/>
          <w:b/>
        </w:rPr>
      </w:pPr>
      <w:r>
        <w:rPr>
          <w:noProof/>
          <w:lang w:eastAsia="en-GB"/>
        </w:rPr>
        <w:drawing>
          <wp:inline distT="0" distB="0" distL="0" distR="0" wp14:anchorId="1AC09BD1" wp14:editId="0D26C7BB">
            <wp:extent cx="6267450" cy="357187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12AE7" w:rsidRPr="00CD4AA4" w:rsidRDefault="00712AE7" w:rsidP="000D329A">
      <w:pPr>
        <w:rPr>
          <w:rFonts w:ascii="Arial" w:hAnsi="Arial" w:cs="Arial"/>
        </w:rPr>
      </w:pPr>
      <w:r w:rsidRPr="00B26CA6">
        <w:rPr>
          <w:rFonts w:ascii="Arial" w:hAnsi="Arial" w:cs="Arial"/>
        </w:rPr>
        <w:t xml:space="preserve">Graph </w:t>
      </w:r>
      <w:r w:rsidR="00EE1281">
        <w:rPr>
          <w:rFonts w:ascii="Arial" w:hAnsi="Arial" w:cs="Arial"/>
        </w:rPr>
        <w:t>24</w:t>
      </w:r>
      <w:r w:rsidRPr="00B26CA6">
        <w:rPr>
          <w:rFonts w:ascii="Arial" w:hAnsi="Arial" w:cs="Arial"/>
        </w:rPr>
        <w:t xml:space="preserve"> shows the recruitment percentages by age.  Initial analysis indicates that applicants aged between </w:t>
      </w:r>
      <w:r w:rsidR="00C45B72" w:rsidRPr="00B26CA6">
        <w:rPr>
          <w:rFonts w:ascii="Arial" w:hAnsi="Arial" w:cs="Arial"/>
        </w:rPr>
        <w:t>35-</w:t>
      </w:r>
      <w:r w:rsidR="00B26CA6" w:rsidRPr="00B26CA6">
        <w:rPr>
          <w:rFonts w:ascii="Arial" w:hAnsi="Arial" w:cs="Arial"/>
        </w:rPr>
        <w:t xml:space="preserve">59 </w:t>
      </w:r>
      <w:r w:rsidR="00C45B72" w:rsidRPr="00B26CA6">
        <w:rPr>
          <w:rFonts w:ascii="Arial" w:hAnsi="Arial" w:cs="Arial"/>
        </w:rPr>
        <w:t xml:space="preserve">were more likely to be appointed overall.  This represents a </w:t>
      </w:r>
      <w:r w:rsidR="00B26CA6" w:rsidRPr="00B26CA6">
        <w:rPr>
          <w:rFonts w:ascii="Arial" w:hAnsi="Arial" w:cs="Arial"/>
        </w:rPr>
        <w:t xml:space="preserve">continued </w:t>
      </w:r>
      <w:r w:rsidR="00C45B72" w:rsidRPr="00B26CA6">
        <w:rPr>
          <w:rFonts w:ascii="Arial" w:hAnsi="Arial" w:cs="Arial"/>
        </w:rPr>
        <w:t xml:space="preserve">variation from 2014 when </w:t>
      </w:r>
      <w:r w:rsidRPr="00B26CA6">
        <w:rPr>
          <w:rFonts w:ascii="Arial" w:hAnsi="Arial" w:cs="Arial"/>
        </w:rPr>
        <w:t xml:space="preserve">20-24 </w:t>
      </w:r>
      <w:r w:rsidR="00C45B72" w:rsidRPr="00B26CA6">
        <w:rPr>
          <w:rFonts w:ascii="Arial" w:hAnsi="Arial" w:cs="Arial"/>
        </w:rPr>
        <w:t xml:space="preserve">year olds were also </w:t>
      </w:r>
      <w:r w:rsidRPr="00B26CA6">
        <w:rPr>
          <w:rFonts w:ascii="Arial" w:hAnsi="Arial" w:cs="Arial"/>
        </w:rPr>
        <w:t>more likely to be appointed</w:t>
      </w:r>
      <w:r w:rsidR="00C45B72" w:rsidRPr="00B26CA6">
        <w:rPr>
          <w:rFonts w:ascii="Arial" w:hAnsi="Arial" w:cs="Arial"/>
        </w:rPr>
        <w:t xml:space="preserve">.  </w:t>
      </w:r>
    </w:p>
    <w:p w:rsidR="00712AE7" w:rsidRDefault="00712AE7" w:rsidP="000D329A">
      <w:pPr>
        <w:rPr>
          <w:rFonts w:ascii="Arial" w:hAnsi="Arial" w:cs="Arial"/>
          <w:b/>
        </w:rPr>
      </w:pPr>
      <w:r w:rsidRPr="00CD4AA4">
        <w:rPr>
          <w:rFonts w:ascii="Arial" w:hAnsi="Arial" w:cs="Arial"/>
          <w:b/>
        </w:rPr>
        <w:t>5.3</w:t>
      </w:r>
      <w:r w:rsidRPr="00CD4AA4">
        <w:rPr>
          <w:rFonts w:ascii="Arial" w:hAnsi="Arial" w:cs="Arial"/>
          <w:b/>
        </w:rPr>
        <w:tab/>
        <w:t>Leavers</w:t>
      </w:r>
    </w:p>
    <w:p w:rsidR="00C45B72" w:rsidRDefault="00B26CA6" w:rsidP="000D329A">
      <w:pPr>
        <w:rPr>
          <w:noProof/>
          <w:lang w:eastAsia="en-GB"/>
        </w:rPr>
      </w:pPr>
      <w:r>
        <w:rPr>
          <w:noProof/>
          <w:lang w:eastAsia="en-GB"/>
        </w:rPr>
        <w:drawing>
          <wp:inline distT="0" distB="0" distL="0" distR="0" wp14:anchorId="25955267" wp14:editId="6191B610">
            <wp:extent cx="6200775" cy="3676650"/>
            <wp:effectExtent l="0" t="0" r="9525" b="1905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43AC2" w:rsidRDefault="00712AE7" w:rsidP="000D329A">
      <w:pPr>
        <w:rPr>
          <w:rFonts w:ascii="Arial" w:hAnsi="Arial" w:cs="Arial"/>
        </w:rPr>
      </w:pPr>
      <w:r w:rsidRPr="00CD4AA4">
        <w:rPr>
          <w:rFonts w:ascii="Arial" w:hAnsi="Arial" w:cs="Arial"/>
        </w:rPr>
        <w:lastRenderedPageBreak/>
        <w:t xml:space="preserve">Graph </w:t>
      </w:r>
      <w:r w:rsidR="00EE1281">
        <w:rPr>
          <w:rFonts w:ascii="Arial" w:hAnsi="Arial" w:cs="Arial"/>
        </w:rPr>
        <w:t>25</w:t>
      </w:r>
      <w:r w:rsidRPr="00CD4AA4">
        <w:rPr>
          <w:rFonts w:ascii="Arial" w:hAnsi="Arial" w:cs="Arial"/>
        </w:rPr>
        <w:t xml:space="preserve"> shows the percentage of leavers by age band.  </w:t>
      </w:r>
      <w:r w:rsidR="00B26CA6">
        <w:rPr>
          <w:rFonts w:ascii="Arial" w:hAnsi="Arial" w:cs="Arial"/>
        </w:rPr>
        <w:t xml:space="preserve">26% of leavers were 30 or under </w:t>
      </w:r>
      <w:r w:rsidRPr="00CD4AA4">
        <w:rPr>
          <w:rFonts w:ascii="Arial" w:hAnsi="Arial" w:cs="Arial"/>
        </w:rPr>
        <w:t xml:space="preserve">during the period </w:t>
      </w:r>
      <w:r w:rsidR="00B26CA6">
        <w:rPr>
          <w:rFonts w:ascii="Arial" w:hAnsi="Arial" w:cs="Arial"/>
        </w:rPr>
        <w:t xml:space="preserve">September 2014 - </w:t>
      </w:r>
      <w:r w:rsidR="007D3F80">
        <w:rPr>
          <w:rFonts w:ascii="Arial" w:hAnsi="Arial" w:cs="Arial"/>
        </w:rPr>
        <w:t>October 2015</w:t>
      </w:r>
      <w:r w:rsidR="00B26CA6">
        <w:rPr>
          <w:rFonts w:ascii="Arial" w:hAnsi="Arial" w:cs="Arial"/>
        </w:rPr>
        <w:t>.</w:t>
      </w:r>
    </w:p>
    <w:p w:rsidR="00043AC2" w:rsidRDefault="00043AC2" w:rsidP="000D329A">
      <w:pPr>
        <w:rPr>
          <w:rFonts w:ascii="Arial" w:hAnsi="Arial" w:cs="Arial"/>
        </w:rPr>
      </w:pPr>
      <w:r>
        <w:rPr>
          <w:rFonts w:ascii="Arial" w:hAnsi="Arial" w:cs="Arial"/>
        </w:rPr>
        <w:t>Analysis conducted recently has highlighted retention as an issue for Band 5 nurses under the age of 30.</w:t>
      </w:r>
    </w:p>
    <w:p w:rsidR="005F62CB" w:rsidRDefault="005F62CB" w:rsidP="000D329A">
      <w:pPr>
        <w:rPr>
          <w:rFonts w:ascii="Arial" w:hAnsi="Arial" w:cs="Arial"/>
        </w:rPr>
      </w:pPr>
      <w:r>
        <w:rPr>
          <w:rFonts w:ascii="Arial" w:hAnsi="Arial" w:cs="Arial"/>
        </w:rPr>
        <w:t xml:space="preserve"> </w:t>
      </w:r>
    </w:p>
    <w:p w:rsidR="00712AE7" w:rsidRPr="00CD4AA4" w:rsidRDefault="00712AE7" w:rsidP="000D329A">
      <w:pPr>
        <w:rPr>
          <w:rFonts w:ascii="Arial" w:hAnsi="Arial" w:cs="Arial"/>
          <w:b/>
        </w:rPr>
      </w:pPr>
      <w:r w:rsidRPr="00CD4AA4">
        <w:rPr>
          <w:rFonts w:ascii="Arial" w:hAnsi="Arial" w:cs="Arial"/>
          <w:b/>
        </w:rPr>
        <w:t>5.4</w:t>
      </w:r>
      <w:r w:rsidRPr="00CD4AA4">
        <w:rPr>
          <w:rFonts w:ascii="Arial" w:hAnsi="Arial" w:cs="Arial"/>
          <w:b/>
        </w:rPr>
        <w:tab/>
        <w:t>Training and Appraisals</w:t>
      </w:r>
    </w:p>
    <w:p w:rsidR="006C32A0" w:rsidRPr="006C32A0" w:rsidRDefault="00712AE7" w:rsidP="000D329A">
      <w:pPr>
        <w:rPr>
          <w:rFonts w:ascii="Arial" w:hAnsi="Arial" w:cs="Arial"/>
        </w:rPr>
      </w:pPr>
      <w:r w:rsidRPr="006C32A0">
        <w:rPr>
          <w:rFonts w:ascii="Arial" w:hAnsi="Arial" w:cs="Arial"/>
        </w:rPr>
        <w:t xml:space="preserve">The mandatory training profile by age indicates that staff in the </w:t>
      </w:r>
      <w:r w:rsidR="00150A6B" w:rsidRPr="006C32A0">
        <w:rPr>
          <w:rFonts w:ascii="Arial" w:hAnsi="Arial" w:cs="Arial"/>
        </w:rPr>
        <w:t>16-</w:t>
      </w:r>
      <w:r w:rsidR="006C32A0" w:rsidRPr="006C32A0">
        <w:rPr>
          <w:rFonts w:ascii="Arial" w:hAnsi="Arial" w:cs="Arial"/>
        </w:rPr>
        <w:t>20</w:t>
      </w:r>
      <w:r w:rsidR="00150A6B" w:rsidRPr="006C32A0">
        <w:rPr>
          <w:rFonts w:ascii="Arial" w:hAnsi="Arial" w:cs="Arial"/>
        </w:rPr>
        <w:t xml:space="preserve"> and </w:t>
      </w:r>
      <w:r w:rsidR="006C32A0" w:rsidRPr="006C32A0">
        <w:rPr>
          <w:rFonts w:ascii="Arial" w:hAnsi="Arial" w:cs="Arial"/>
        </w:rPr>
        <w:t>61-65</w:t>
      </w:r>
      <w:r w:rsidR="00150A6B" w:rsidRPr="006C32A0">
        <w:rPr>
          <w:rFonts w:ascii="Arial" w:hAnsi="Arial" w:cs="Arial"/>
        </w:rPr>
        <w:t xml:space="preserve"> </w:t>
      </w:r>
      <w:r w:rsidR="00B23A3A" w:rsidRPr="006C32A0">
        <w:rPr>
          <w:rFonts w:ascii="Arial" w:hAnsi="Arial" w:cs="Arial"/>
        </w:rPr>
        <w:t>age</w:t>
      </w:r>
      <w:r w:rsidRPr="006C32A0">
        <w:rPr>
          <w:rFonts w:ascii="Arial" w:hAnsi="Arial" w:cs="Arial"/>
        </w:rPr>
        <w:t xml:space="preserve"> band</w:t>
      </w:r>
      <w:r w:rsidR="00150A6B" w:rsidRPr="006C32A0">
        <w:rPr>
          <w:rFonts w:ascii="Arial" w:hAnsi="Arial" w:cs="Arial"/>
        </w:rPr>
        <w:t>s</w:t>
      </w:r>
      <w:r w:rsidRPr="006C32A0">
        <w:rPr>
          <w:rFonts w:ascii="Arial" w:hAnsi="Arial" w:cs="Arial"/>
        </w:rPr>
        <w:t xml:space="preserve"> are the least likely to have completed mandatory training</w:t>
      </w:r>
      <w:r w:rsidR="006C32A0" w:rsidRPr="006C32A0">
        <w:rPr>
          <w:rFonts w:ascii="Arial" w:hAnsi="Arial" w:cs="Arial"/>
        </w:rPr>
        <w:t>, however this is based against a high percentage uptake.</w:t>
      </w:r>
    </w:p>
    <w:p w:rsidR="005F62CB" w:rsidRDefault="006C32A0" w:rsidP="000D329A">
      <w:pPr>
        <w:rPr>
          <w:noProof/>
          <w:lang w:eastAsia="en-GB"/>
        </w:rPr>
      </w:pPr>
      <w:r>
        <w:rPr>
          <w:noProof/>
          <w:lang w:eastAsia="en-GB"/>
        </w:rPr>
        <w:drawing>
          <wp:inline distT="0" distB="0" distL="0" distR="0" wp14:anchorId="2CF26A40" wp14:editId="1DB480A1">
            <wp:extent cx="6153150" cy="3762375"/>
            <wp:effectExtent l="0" t="0" r="19050" b="952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12AE7" w:rsidRPr="00CD4AA4" w:rsidRDefault="00712AE7" w:rsidP="000D329A">
      <w:pPr>
        <w:rPr>
          <w:rFonts w:ascii="Arial" w:hAnsi="Arial" w:cs="Arial"/>
        </w:rPr>
      </w:pPr>
      <w:r w:rsidRPr="006C32A0">
        <w:rPr>
          <w:rFonts w:ascii="Arial" w:hAnsi="Arial" w:cs="Arial"/>
        </w:rPr>
        <w:t xml:space="preserve">Graph </w:t>
      </w:r>
      <w:r w:rsidR="00EE1281">
        <w:rPr>
          <w:rFonts w:ascii="Arial" w:hAnsi="Arial" w:cs="Arial"/>
        </w:rPr>
        <w:t>26</w:t>
      </w:r>
      <w:r w:rsidRPr="006C32A0">
        <w:rPr>
          <w:rFonts w:ascii="Arial" w:hAnsi="Arial" w:cs="Arial"/>
        </w:rPr>
        <w:t xml:space="preserve"> also indicates that </w:t>
      </w:r>
      <w:proofErr w:type="gramStart"/>
      <w:r w:rsidRPr="006C32A0">
        <w:rPr>
          <w:rFonts w:ascii="Arial" w:hAnsi="Arial" w:cs="Arial"/>
        </w:rPr>
        <w:t xml:space="preserve">staff </w:t>
      </w:r>
      <w:r w:rsidR="006C32A0" w:rsidRPr="006C32A0">
        <w:rPr>
          <w:rFonts w:ascii="Arial" w:hAnsi="Arial" w:cs="Arial"/>
        </w:rPr>
        <w:t xml:space="preserve">between 16-20 </w:t>
      </w:r>
      <w:r w:rsidRPr="006C32A0">
        <w:rPr>
          <w:rFonts w:ascii="Arial" w:hAnsi="Arial" w:cs="Arial"/>
        </w:rPr>
        <w:t>appear</w:t>
      </w:r>
      <w:proofErr w:type="gramEnd"/>
      <w:r w:rsidRPr="006C32A0">
        <w:rPr>
          <w:rFonts w:ascii="Arial" w:hAnsi="Arial" w:cs="Arial"/>
        </w:rPr>
        <w:t xml:space="preserve"> less likely to have completed an appraisal.  It is unclear why this variation exists and further investigation would be required.</w:t>
      </w:r>
    </w:p>
    <w:p w:rsidR="00712AE7" w:rsidRPr="00CD4AA4" w:rsidRDefault="00712AE7" w:rsidP="000D329A">
      <w:pPr>
        <w:rPr>
          <w:rFonts w:ascii="Arial" w:hAnsi="Arial" w:cs="Arial"/>
          <w:b/>
        </w:rPr>
      </w:pPr>
      <w:r w:rsidRPr="00CD4AA4">
        <w:rPr>
          <w:rFonts w:ascii="Arial" w:hAnsi="Arial" w:cs="Arial"/>
          <w:b/>
        </w:rPr>
        <w:t>5.2</w:t>
      </w:r>
      <w:r w:rsidRPr="00CD4AA4">
        <w:rPr>
          <w:rFonts w:ascii="Arial" w:hAnsi="Arial" w:cs="Arial"/>
          <w:b/>
        </w:rPr>
        <w:tab/>
        <w:t>Staff Survey</w:t>
      </w:r>
    </w:p>
    <w:p w:rsidR="00712AE7" w:rsidRPr="00CD4AA4" w:rsidRDefault="00712AE7" w:rsidP="000D329A">
      <w:pPr>
        <w:rPr>
          <w:rFonts w:ascii="Arial" w:hAnsi="Arial" w:cs="Arial"/>
        </w:rPr>
      </w:pPr>
      <w:r w:rsidRPr="00CD4AA4">
        <w:rPr>
          <w:rFonts w:ascii="Arial" w:hAnsi="Arial" w:cs="Arial"/>
        </w:rPr>
        <w:t>Some notable differences based on age within the 201</w:t>
      </w:r>
      <w:r w:rsidR="009E05D9">
        <w:rPr>
          <w:rFonts w:ascii="Arial" w:hAnsi="Arial" w:cs="Arial"/>
        </w:rPr>
        <w:t>4</w:t>
      </w:r>
      <w:r w:rsidRPr="00CD4AA4">
        <w:rPr>
          <w:rFonts w:ascii="Arial" w:hAnsi="Arial" w:cs="Arial"/>
        </w:rPr>
        <w:t xml:space="preserve"> staff survey included:</w:t>
      </w:r>
    </w:p>
    <w:p w:rsidR="00712AE7" w:rsidRPr="000C7DA5" w:rsidRDefault="00712AE7" w:rsidP="000C7DA5">
      <w:pPr>
        <w:pStyle w:val="ListParagraph"/>
        <w:numPr>
          <w:ilvl w:val="0"/>
          <w:numId w:val="45"/>
        </w:numPr>
        <w:rPr>
          <w:rFonts w:ascii="Arial" w:hAnsi="Arial" w:cs="Arial"/>
        </w:rPr>
      </w:pPr>
      <w:r w:rsidRPr="000C7DA5">
        <w:rPr>
          <w:rFonts w:ascii="Arial" w:hAnsi="Arial" w:cs="Arial"/>
        </w:rPr>
        <w:t xml:space="preserve">Responses to appraisals differed quite considerably between age bands with </w:t>
      </w:r>
      <w:r w:rsidR="00814E3B">
        <w:rPr>
          <w:rFonts w:ascii="Arial" w:hAnsi="Arial" w:cs="Arial"/>
        </w:rPr>
        <w:t>41</w:t>
      </w:r>
      <w:r w:rsidRPr="000C7DA5">
        <w:rPr>
          <w:rFonts w:ascii="Arial" w:hAnsi="Arial" w:cs="Arial"/>
        </w:rPr>
        <w:t xml:space="preserve">% of staff aged 16-30 agreeing they had had a well structured appraisal compared to staff aged </w:t>
      </w:r>
      <w:r w:rsidR="00814E3B">
        <w:rPr>
          <w:rFonts w:ascii="Arial" w:hAnsi="Arial" w:cs="Arial"/>
        </w:rPr>
        <w:t xml:space="preserve">51+ </w:t>
      </w:r>
      <w:r w:rsidRPr="000C7DA5">
        <w:rPr>
          <w:rFonts w:ascii="Arial" w:hAnsi="Arial" w:cs="Arial"/>
        </w:rPr>
        <w:t xml:space="preserve">at </w:t>
      </w:r>
      <w:r w:rsidR="00814E3B">
        <w:rPr>
          <w:rFonts w:ascii="Arial" w:hAnsi="Arial" w:cs="Arial"/>
        </w:rPr>
        <w:t>32</w:t>
      </w:r>
      <w:r w:rsidRPr="000C7DA5">
        <w:rPr>
          <w:rFonts w:ascii="Arial" w:hAnsi="Arial" w:cs="Arial"/>
        </w:rPr>
        <w:t>%.</w:t>
      </w:r>
      <w:r w:rsidR="00054551">
        <w:rPr>
          <w:rFonts w:ascii="Arial" w:hAnsi="Arial" w:cs="Arial"/>
        </w:rPr>
        <w:br/>
      </w:r>
    </w:p>
    <w:p w:rsidR="00712AE7" w:rsidRPr="000C7DA5" w:rsidRDefault="00712AE7" w:rsidP="000C7DA5">
      <w:pPr>
        <w:pStyle w:val="ListParagraph"/>
        <w:numPr>
          <w:ilvl w:val="0"/>
          <w:numId w:val="45"/>
        </w:numPr>
        <w:rPr>
          <w:rFonts w:ascii="Arial" w:hAnsi="Arial" w:cs="Arial"/>
        </w:rPr>
      </w:pPr>
      <w:r w:rsidRPr="000C7DA5">
        <w:rPr>
          <w:rFonts w:ascii="Arial" w:hAnsi="Arial" w:cs="Arial"/>
        </w:rPr>
        <w:t xml:space="preserve">Responses to being able to contribute at work </w:t>
      </w:r>
      <w:r w:rsidR="00814E3B">
        <w:rPr>
          <w:rFonts w:ascii="Arial" w:hAnsi="Arial" w:cs="Arial"/>
        </w:rPr>
        <w:t xml:space="preserve">was broadly the same (between 63% and 65%) compared to 2013 when </w:t>
      </w:r>
      <w:r w:rsidRPr="00814E3B">
        <w:rPr>
          <w:rFonts w:ascii="Arial" w:hAnsi="Arial" w:cs="Arial"/>
        </w:rPr>
        <w:t>76</w:t>
      </w:r>
      <w:r w:rsidRPr="000C7DA5">
        <w:rPr>
          <w:rFonts w:ascii="Arial" w:hAnsi="Arial" w:cs="Arial"/>
        </w:rPr>
        <w:t>% of staff aged 31-40 agree</w:t>
      </w:r>
      <w:r w:rsidR="00814E3B">
        <w:rPr>
          <w:rFonts w:ascii="Arial" w:hAnsi="Arial" w:cs="Arial"/>
        </w:rPr>
        <w:t xml:space="preserve">d </w:t>
      </w:r>
      <w:r w:rsidRPr="000C7DA5">
        <w:rPr>
          <w:rFonts w:ascii="Arial" w:hAnsi="Arial" w:cs="Arial"/>
        </w:rPr>
        <w:t xml:space="preserve">they were able to contribute to improvements at work compared to </w:t>
      </w:r>
      <w:r w:rsidRPr="00814E3B">
        <w:rPr>
          <w:rFonts w:ascii="Arial" w:hAnsi="Arial" w:cs="Arial"/>
        </w:rPr>
        <w:t>56</w:t>
      </w:r>
      <w:r w:rsidRPr="000C7DA5">
        <w:rPr>
          <w:rFonts w:ascii="Arial" w:hAnsi="Arial" w:cs="Arial"/>
        </w:rPr>
        <w:t>% of staff aged over 51.</w:t>
      </w:r>
    </w:p>
    <w:p w:rsidR="008D14B6" w:rsidRDefault="008D14B6" w:rsidP="000D329A">
      <w:pPr>
        <w:rPr>
          <w:rFonts w:cs="Arial"/>
          <w:b/>
        </w:rPr>
      </w:pPr>
    </w:p>
    <w:p w:rsidR="00712AE7" w:rsidRPr="00CD4AA4" w:rsidRDefault="00712AE7" w:rsidP="000D329A">
      <w:pPr>
        <w:rPr>
          <w:rFonts w:ascii="Arial" w:hAnsi="Arial" w:cs="Arial"/>
          <w:b/>
        </w:rPr>
      </w:pPr>
      <w:r w:rsidRPr="00CD4AA4">
        <w:rPr>
          <w:rFonts w:cs="Arial"/>
          <w:b/>
        </w:rPr>
        <w:lastRenderedPageBreak/>
        <w:t>5.3</w:t>
      </w:r>
      <w:r w:rsidRPr="00CD4AA4">
        <w:rPr>
          <w:rFonts w:cs="Arial"/>
          <w:b/>
        </w:rPr>
        <w:tab/>
      </w:r>
      <w:r w:rsidRPr="00CD4AA4">
        <w:rPr>
          <w:rFonts w:ascii="Arial" w:hAnsi="Arial" w:cs="Arial"/>
          <w:b/>
        </w:rPr>
        <w:t>Age – Observations</w:t>
      </w:r>
    </w:p>
    <w:p w:rsidR="00712AE7" w:rsidRPr="006C32A0" w:rsidRDefault="00712AE7" w:rsidP="000D329A">
      <w:pPr>
        <w:rPr>
          <w:rFonts w:ascii="Arial" w:hAnsi="Arial" w:cs="Arial"/>
        </w:rPr>
      </w:pPr>
      <w:r w:rsidRPr="006C32A0">
        <w:rPr>
          <w:rFonts w:ascii="Arial" w:hAnsi="Arial" w:cs="Arial"/>
        </w:rPr>
        <w:t>With the change in the law relating to age in employment it may be that more staff will choose to work longer. The Trust needs to be aware o</w:t>
      </w:r>
      <w:r w:rsidR="000C7DA5" w:rsidRPr="006C32A0">
        <w:rPr>
          <w:rFonts w:ascii="Arial" w:hAnsi="Arial" w:cs="Arial"/>
        </w:rPr>
        <w:t>f this and to plan accordingly.</w:t>
      </w:r>
    </w:p>
    <w:p w:rsidR="00712AE7" w:rsidRPr="000C7DA5" w:rsidRDefault="00712AE7" w:rsidP="000C7DA5">
      <w:pPr>
        <w:rPr>
          <w:rFonts w:ascii="Arial" w:hAnsi="Arial" w:cs="Arial"/>
        </w:rPr>
      </w:pPr>
      <w:r w:rsidRPr="006C32A0">
        <w:rPr>
          <w:rFonts w:ascii="Arial" w:hAnsi="Arial" w:cs="Arial"/>
        </w:rPr>
        <w:t xml:space="preserve">To better understand the apparent variation in completion of appraisals for staff </w:t>
      </w:r>
      <w:r w:rsidR="006C32A0" w:rsidRPr="006C32A0">
        <w:rPr>
          <w:rFonts w:ascii="Arial" w:hAnsi="Arial" w:cs="Arial"/>
        </w:rPr>
        <w:t xml:space="preserve">20 and under, </w:t>
      </w:r>
      <w:r w:rsidR="000C7DA5" w:rsidRPr="006C32A0">
        <w:rPr>
          <w:rFonts w:ascii="Arial" w:hAnsi="Arial" w:cs="Arial"/>
        </w:rPr>
        <w:t>and to take account of the responses to the staff survey and to understand what action may be necessary as a result of these.</w:t>
      </w:r>
    </w:p>
    <w:p w:rsidR="00416AA2" w:rsidRDefault="00416AA2" w:rsidP="000D329A">
      <w:pPr>
        <w:rPr>
          <w:rFonts w:ascii="Arial" w:hAnsi="Arial" w:cs="Arial"/>
          <w:b/>
        </w:rPr>
      </w:pPr>
    </w:p>
    <w:p w:rsidR="00712AE7" w:rsidRPr="00416AA2" w:rsidRDefault="00712AE7" w:rsidP="000D329A">
      <w:pPr>
        <w:rPr>
          <w:rFonts w:ascii="Arial" w:hAnsi="Arial" w:cs="Arial"/>
          <w:b/>
        </w:rPr>
      </w:pPr>
      <w:r w:rsidRPr="00416AA2">
        <w:rPr>
          <w:rFonts w:ascii="Arial" w:hAnsi="Arial" w:cs="Arial"/>
          <w:b/>
        </w:rPr>
        <w:t>6.0</w:t>
      </w:r>
      <w:r w:rsidR="00231C05" w:rsidRPr="00416AA2">
        <w:rPr>
          <w:rFonts w:ascii="Arial" w:hAnsi="Arial" w:cs="Arial"/>
          <w:b/>
        </w:rPr>
        <w:tab/>
      </w:r>
      <w:r w:rsidRPr="00416AA2">
        <w:rPr>
          <w:rFonts w:ascii="Arial" w:hAnsi="Arial" w:cs="Arial"/>
          <w:b/>
        </w:rPr>
        <w:t>Religion and Belief</w:t>
      </w:r>
    </w:p>
    <w:p w:rsidR="00712AE7" w:rsidRDefault="00712AE7" w:rsidP="000D329A">
      <w:pPr>
        <w:rPr>
          <w:rFonts w:ascii="Arial" w:hAnsi="Arial" w:cs="Arial"/>
          <w:b/>
        </w:rPr>
      </w:pPr>
      <w:r w:rsidRPr="00CD4AA4">
        <w:rPr>
          <w:rFonts w:ascii="Arial" w:hAnsi="Arial" w:cs="Arial"/>
          <w:b/>
        </w:rPr>
        <w:t>6.1</w:t>
      </w:r>
      <w:r w:rsidRPr="00CD4AA4">
        <w:rPr>
          <w:rFonts w:ascii="Arial" w:hAnsi="Arial" w:cs="Arial"/>
          <w:b/>
        </w:rPr>
        <w:tab/>
        <w:t>Staff Profile</w:t>
      </w:r>
    </w:p>
    <w:p w:rsidR="00371D8F" w:rsidRDefault="007240F8" w:rsidP="000D329A">
      <w:pPr>
        <w:rPr>
          <w:rFonts w:ascii="Arial" w:hAnsi="Arial" w:cs="Arial"/>
          <w:b/>
        </w:rPr>
      </w:pPr>
      <w:r>
        <w:rPr>
          <w:noProof/>
          <w:lang w:eastAsia="en-GB"/>
        </w:rPr>
        <w:drawing>
          <wp:inline distT="0" distB="0" distL="0" distR="0" wp14:anchorId="7E117B47" wp14:editId="391F7C74">
            <wp:extent cx="5943600" cy="3345180"/>
            <wp:effectExtent l="0" t="0" r="19050" b="2667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240F8" w:rsidRDefault="00141D2F" w:rsidP="000D329A">
      <w:pPr>
        <w:rPr>
          <w:rFonts w:ascii="Arial" w:hAnsi="Arial" w:cs="Arial"/>
        </w:rPr>
      </w:pPr>
      <w:r>
        <w:rPr>
          <w:noProof/>
          <w:lang w:eastAsia="en-GB"/>
        </w:rPr>
        <w:lastRenderedPageBreak/>
        <w:drawing>
          <wp:inline distT="0" distB="0" distL="0" distR="0" wp14:anchorId="18908BD0" wp14:editId="50EC838A">
            <wp:extent cx="6162675" cy="3400425"/>
            <wp:effectExtent l="0" t="0" r="9525" b="9525"/>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41D2F" w:rsidRDefault="00712AE7" w:rsidP="000D329A">
      <w:pPr>
        <w:rPr>
          <w:rFonts w:ascii="Arial" w:hAnsi="Arial" w:cs="Arial"/>
        </w:rPr>
      </w:pPr>
      <w:r w:rsidRPr="00CD4AA4">
        <w:rPr>
          <w:rFonts w:ascii="Arial" w:hAnsi="Arial" w:cs="Arial"/>
        </w:rPr>
        <w:t xml:space="preserve">Graph </w:t>
      </w:r>
      <w:r w:rsidR="00EE1281">
        <w:rPr>
          <w:rFonts w:ascii="Arial" w:hAnsi="Arial" w:cs="Arial"/>
        </w:rPr>
        <w:t>27</w:t>
      </w:r>
      <w:r w:rsidR="007240F8">
        <w:rPr>
          <w:rFonts w:ascii="Arial" w:hAnsi="Arial" w:cs="Arial"/>
        </w:rPr>
        <w:t xml:space="preserve"> </w:t>
      </w:r>
      <w:r w:rsidRPr="00CD4AA4">
        <w:rPr>
          <w:rFonts w:ascii="Arial" w:hAnsi="Arial" w:cs="Arial"/>
        </w:rPr>
        <w:t xml:space="preserve">shows the </w:t>
      </w:r>
      <w:r w:rsidR="00141D2F">
        <w:rPr>
          <w:rFonts w:ascii="Arial" w:hAnsi="Arial" w:cs="Arial"/>
        </w:rPr>
        <w:t xml:space="preserve">over </w:t>
      </w:r>
      <w:r w:rsidRPr="00CD4AA4">
        <w:rPr>
          <w:rFonts w:ascii="Arial" w:hAnsi="Arial" w:cs="Arial"/>
        </w:rPr>
        <w:t xml:space="preserve">workforce </w:t>
      </w:r>
      <w:r w:rsidR="00141D2F">
        <w:rPr>
          <w:rFonts w:ascii="Arial" w:hAnsi="Arial" w:cs="Arial"/>
        </w:rPr>
        <w:t xml:space="preserve">profile </w:t>
      </w:r>
      <w:r w:rsidRPr="00CD4AA4">
        <w:rPr>
          <w:rFonts w:ascii="Arial" w:hAnsi="Arial" w:cs="Arial"/>
        </w:rPr>
        <w:t xml:space="preserve">by religion and belief as at </w:t>
      </w:r>
      <w:r w:rsidR="007D3F80">
        <w:rPr>
          <w:rFonts w:ascii="Arial" w:hAnsi="Arial" w:cs="Arial"/>
        </w:rPr>
        <w:t xml:space="preserve">September </w:t>
      </w:r>
      <w:r w:rsidRPr="00CD4AA4">
        <w:rPr>
          <w:rFonts w:ascii="Arial" w:hAnsi="Arial" w:cs="Arial"/>
        </w:rPr>
        <w:t>201</w:t>
      </w:r>
      <w:r w:rsidR="009E05D9">
        <w:rPr>
          <w:rFonts w:ascii="Arial" w:hAnsi="Arial" w:cs="Arial"/>
        </w:rPr>
        <w:t>5</w:t>
      </w:r>
      <w:r w:rsidRPr="00CD4AA4">
        <w:rPr>
          <w:rFonts w:ascii="Arial" w:hAnsi="Arial" w:cs="Arial"/>
        </w:rPr>
        <w:t xml:space="preserve">.  As can be seen, the data held for this protected characteristic is poor with </w:t>
      </w:r>
      <w:r w:rsidR="00C10B99">
        <w:rPr>
          <w:rFonts w:ascii="Arial" w:hAnsi="Arial" w:cs="Arial"/>
        </w:rPr>
        <w:t>37</w:t>
      </w:r>
      <w:r w:rsidRPr="00CD4AA4">
        <w:rPr>
          <w:rFonts w:ascii="Arial" w:hAnsi="Arial" w:cs="Arial"/>
        </w:rPr>
        <w:t xml:space="preserve">% </w:t>
      </w:r>
      <w:r w:rsidR="00C10B99">
        <w:rPr>
          <w:rFonts w:ascii="Arial" w:hAnsi="Arial" w:cs="Arial"/>
        </w:rPr>
        <w:t xml:space="preserve">of records being undefined.  </w:t>
      </w:r>
    </w:p>
    <w:p w:rsidR="00C10B99" w:rsidRDefault="00141D2F" w:rsidP="000D329A">
      <w:pPr>
        <w:rPr>
          <w:rFonts w:ascii="Arial" w:hAnsi="Arial" w:cs="Arial"/>
        </w:rPr>
      </w:pPr>
      <w:r>
        <w:rPr>
          <w:rFonts w:ascii="Arial" w:hAnsi="Arial" w:cs="Arial"/>
        </w:rPr>
        <w:t xml:space="preserve">Graph </w:t>
      </w:r>
      <w:r w:rsidR="00EE1281">
        <w:rPr>
          <w:rFonts w:ascii="Arial" w:hAnsi="Arial" w:cs="Arial"/>
        </w:rPr>
        <w:t>28</w:t>
      </w:r>
      <w:r>
        <w:rPr>
          <w:rFonts w:ascii="Arial" w:hAnsi="Arial" w:cs="Arial"/>
        </w:rPr>
        <w:t xml:space="preserve"> shows the breakdown by staff group.  </w:t>
      </w:r>
      <w:r w:rsidR="00C10B99">
        <w:rPr>
          <w:rFonts w:ascii="Arial" w:hAnsi="Arial" w:cs="Arial"/>
        </w:rPr>
        <w:t>3</w:t>
      </w:r>
      <w:r>
        <w:rPr>
          <w:rFonts w:ascii="Arial" w:hAnsi="Arial" w:cs="Arial"/>
        </w:rPr>
        <w:t>9</w:t>
      </w:r>
      <w:r w:rsidR="00C10B99">
        <w:rPr>
          <w:rFonts w:ascii="Arial" w:hAnsi="Arial" w:cs="Arial"/>
        </w:rPr>
        <w:t xml:space="preserve">% of </w:t>
      </w:r>
      <w:r>
        <w:rPr>
          <w:rFonts w:ascii="Arial" w:hAnsi="Arial" w:cs="Arial"/>
        </w:rPr>
        <w:t xml:space="preserve">Senior Medics </w:t>
      </w:r>
      <w:r w:rsidR="00C10B99">
        <w:rPr>
          <w:rFonts w:ascii="Arial" w:hAnsi="Arial" w:cs="Arial"/>
        </w:rPr>
        <w:t>and 88% of Junior Medics have chosen not to declare their religion or belief.</w:t>
      </w:r>
    </w:p>
    <w:p w:rsidR="00C10B99" w:rsidRDefault="00C10B99" w:rsidP="000D329A">
      <w:pPr>
        <w:rPr>
          <w:rFonts w:ascii="Arial" w:hAnsi="Arial" w:cs="Arial"/>
        </w:rPr>
      </w:pPr>
      <w:r w:rsidRPr="0090480B">
        <w:rPr>
          <w:rFonts w:ascii="Arial" w:hAnsi="Arial" w:cs="Arial"/>
        </w:rPr>
        <w:t xml:space="preserve">It hoped that this </w:t>
      </w:r>
      <w:r>
        <w:rPr>
          <w:rFonts w:ascii="Arial" w:hAnsi="Arial" w:cs="Arial"/>
        </w:rPr>
        <w:t xml:space="preserve">position will improve </w:t>
      </w:r>
      <w:r w:rsidRPr="0090480B">
        <w:rPr>
          <w:rFonts w:ascii="Arial" w:hAnsi="Arial" w:cs="Arial"/>
        </w:rPr>
        <w:t>via the data collection exercise scheduled for Q3/Q4 2015/16.</w:t>
      </w:r>
    </w:p>
    <w:p w:rsidR="00141D2F" w:rsidRDefault="00141D2F" w:rsidP="000D329A">
      <w:pPr>
        <w:rPr>
          <w:rFonts w:ascii="Arial" w:hAnsi="Arial" w:cs="Arial"/>
        </w:rPr>
      </w:pPr>
    </w:p>
    <w:p w:rsidR="00712AE7" w:rsidRPr="00CD4AA4" w:rsidRDefault="00231C05" w:rsidP="000D329A">
      <w:pPr>
        <w:rPr>
          <w:rFonts w:ascii="Arial" w:hAnsi="Arial" w:cs="Arial"/>
          <w:b/>
        </w:rPr>
      </w:pPr>
      <w:r>
        <w:rPr>
          <w:rFonts w:ascii="Arial" w:hAnsi="Arial" w:cs="Arial"/>
          <w:b/>
        </w:rPr>
        <w:t>6.2:</w:t>
      </w:r>
      <w:r w:rsidR="00A441D7">
        <w:rPr>
          <w:rFonts w:ascii="Arial" w:hAnsi="Arial" w:cs="Arial"/>
          <w:b/>
        </w:rPr>
        <w:tab/>
      </w:r>
      <w:r w:rsidR="00712AE7" w:rsidRPr="00CD4AA4">
        <w:rPr>
          <w:rFonts w:ascii="Arial" w:hAnsi="Arial" w:cs="Arial"/>
          <w:b/>
        </w:rPr>
        <w:t>Religion and Belief – Observations</w:t>
      </w:r>
    </w:p>
    <w:p w:rsidR="00966EDC" w:rsidRDefault="00141D2F" w:rsidP="000D329A">
      <w:pPr>
        <w:rPr>
          <w:rFonts w:ascii="Arial" w:hAnsi="Arial" w:cs="Arial"/>
        </w:rPr>
      </w:pPr>
      <w:r>
        <w:rPr>
          <w:rFonts w:ascii="Arial" w:hAnsi="Arial" w:cs="Arial"/>
        </w:rPr>
        <w:t xml:space="preserve">Whilst further analysis has been conducted on religion and belief (see accompanying profiles), due </w:t>
      </w:r>
      <w:r w:rsidR="00712AE7" w:rsidRPr="00CD4AA4">
        <w:rPr>
          <w:rFonts w:ascii="Arial" w:hAnsi="Arial" w:cs="Arial"/>
        </w:rPr>
        <w:t xml:space="preserve">to the current under-reporting of staff on declared religion and belief it is not possible </w:t>
      </w:r>
      <w:r w:rsidR="00966EDC">
        <w:rPr>
          <w:rFonts w:ascii="Arial" w:hAnsi="Arial" w:cs="Arial"/>
        </w:rPr>
        <w:t>to arrive at any firm conclusions.</w:t>
      </w:r>
    </w:p>
    <w:p w:rsidR="00712AE7" w:rsidRPr="00CD4AA4" w:rsidRDefault="00712AE7" w:rsidP="000D329A">
      <w:pPr>
        <w:rPr>
          <w:rFonts w:ascii="Arial" w:hAnsi="Arial" w:cs="Arial"/>
        </w:rPr>
      </w:pPr>
      <w:r w:rsidRPr="00CD4AA4">
        <w:rPr>
          <w:rFonts w:ascii="Arial" w:hAnsi="Arial" w:cs="Arial"/>
        </w:rPr>
        <w:t>Currently the NHS Staff Survey does not present analysis on Religion and Belief.</w:t>
      </w:r>
    </w:p>
    <w:p w:rsidR="00416AA2" w:rsidRDefault="00416AA2" w:rsidP="000D329A">
      <w:pPr>
        <w:rPr>
          <w:rFonts w:cs="Arial"/>
          <w:b/>
        </w:rPr>
      </w:pPr>
    </w:p>
    <w:p w:rsidR="00416AA2" w:rsidRDefault="00416AA2" w:rsidP="000D329A">
      <w:pPr>
        <w:rPr>
          <w:rFonts w:cs="Arial"/>
          <w:b/>
        </w:rPr>
      </w:pPr>
    </w:p>
    <w:p w:rsidR="00966EDC" w:rsidRDefault="00966EDC">
      <w:pPr>
        <w:spacing w:after="0" w:line="240" w:lineRule="auto"/>
        <w:rPr>
          <w:rFonts w:cs="Arial"/>
          <w:b/>
        </w:rPr>
      </w:pPr>
      <w:r>
        <w:rPr>
          <w:rFonts w:cs="Arial"/>
          <w:b/>
        </w:rPr>
        <w:br w:type="page"/>
      </w:r>
    </w:p>
    <w:p w:rsidR="00712AE7" w:rsidRPr="00CD4AA4" w:rsidRDefault="00712AE7" w:rsidP="000D329A">
      <w:pPr>
        <w:rPr>
          <w:rFonts w:ascii="Arial" w:hAnsi="Arial" w:cs="Arial"/>
          <w:b/>
        </w:rPr>
      </w:pPr>
      <w:r w:rsidRPr="00CD4AA4">
        <w:rPr>
          <w:rFonts w:cs="Arial"/>
          <w:b/>
        </w:rPr>
        <w:lastRenderedPageBreak/>
        <w:t>7.0</w:t>
      </w:r>
      <w:r w:rsidRPr="00CD4AA4">
        <w:rPr>
          <w:rFonts w:cs="Arial"/>
          <w:b/>
        </w:rPr>
        <w:tab/>
      </w:r>
      <w:r w:rsidRPr="00CD4AA4">
        <w:rPr>
          <w:rFonts w:ascii="Arial" w:hAnsi="Arial" w:cs="Arial"/>
          <w:b/>
        </w:rPr>
        <w:t>Sexual Orientation</w:t>
      </w:r>
    </w:p>
    <w:p w:rsidR="00712AE7" w:rsidRPr="00416AA2" w:rsidRDefault="00712AE7" w:rsidP="00905AA7">
      <w:pPr>
        <w:rPr>
          <w:rFonts w:ascii="Arial" w:hAnsi="Arial" w:cs="Arial"/>
          <w:b/>
        </w:rPr>
      </w:pPr>
      <w:r w:rsidRPr="00416AA2">
        <w:rPr>
          <w:rFonts w:ascii="Arial" w:hAnsi="Arial" w:cs="Arial"/>
          <w:b/>
        </w:rPr>
        <w:t>7.1</w:t>
      </w:r>
      <w:r w:rsidRPr="00416AA2">
        <w:rPr>
          <w:rFonts w:ascii="Arial" w:hAnsi="Arial" w:cs="Arial"/>
          <w:b/>
        </w:rPr>
        <w:tab/>
        <w:t>Staff Profile</w:t>
      </w:r>
    </w:p>
    <w:p w:rsidR="00416AA2" w:rsidRDefault="00966EDC" w:rsidP="00905AA7">
      <w:pPr>
        <w:rPr>
          <w:noProof/>
          <w:lang w:eastAsia="en-GB"/>
        </w:rPr>
      </w:pPr>
      <w:r>
        <w:rPr>
          <w:noProof/>
          <w:lang w:eastAsia="en-GB"/>
        </w:rPr>
        <w:drawing>
          <wp:inline distT="0" distB="0" distL="0" distR="0" wp14:anchorId="476298C8" wp14:editId="150DE9B5">
            <wp:extent cx="6105525" cy="3790950"/>
            <wp:effectExtent l="0" t="0" r="9525" b="1905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66EDC" w:rsidRDefault="00712AE7" w:rsidP="000D329A">
      <w:pPr>
        <w:rPr>
          <w:rFonts w:ascii="Arial" w:hAnsi="Arial" w:cs="Arial"/>
        </w:rPr>
      </w:pPr>
      <w:r w:rsidRPr="00CD4AA4">
        <w:rPr>
          <w:rFonts w:ascii="Arial" w:hAnsi="Arial" w:cs="Arial"/>
        </w:rPr>
        <w:t xml:space="preserve">Graph </w:t>
      </w:r>
      <w:r w:rsidR="00EE1281">
        <w:rPr>
          <w:rFonts w:ascii="Arial" w:hAnsi="Arial" w:cs="Arial"/>
        </w:rPr>
        <w:t>29</w:t>
      </w:r>
      <w:r w:rsidRPr="00CD4AA4">
        <w:rPr>
          <w:rFonts w:ascii="Arial" w:hAnsi="Arial" w:cs="Arial"/>
        </w:rPr>
        <w:t xml:space="preserve"> shows the reporting of sexual orientation across the workforce.  As can be seen, the data held for this protected characteristic is poor with </w:t>
      </w:r>
      <w:r w:rsidR="00966EDC">
        <w:rPr>
          <w:rFonts w:ascii="Arial" w:hAnsi="Arial" w:cs="Arial"/>
        </w:rPr>
        <w:t>37</w:t>
      </w:r>
      <w:r w:rsidRPr="00CD4AA4">
        <w:rPr>
          <w:rFonts w:ascii="Arial" w:hAnsi="Arial" w:cs="Arial"/>
        </w:rPr>
        <w:t xml:space="preserve">% of </w:t>
      </w:r>
      <w:r w:rsidR="00966EDC">
        <w:rPr>
          <w:rFonts w:ascii="Arial" w:hAnsi="Arial" w:cs="Arial"/>
        </w:rPr>
        <w:t xml:space="preserve">records undefined and a </w:t>
      </w:r>
      <w:r w:rsidR="008F416F">
        <w:rPr>
          <w:rFonts w:ascii="Arial" w:hAnsi="Arial" w:cs="Arial"/>
        </w:rPr>
        <w:t xml:space="preserve">further </w:t>
      </w:r>
      <w:r w:rsidR="00966EDC">
        <w:rPr>
          <w:rFonts w:ascii="Arial" w:hAnsi="Arial" w:cs="Arial"/>
        </w:rPr>
        <w:t>19</w:t>
      </w:r>
      <w:r w:rsidR="008F416F">
        <w:rPr>
          <w:rFonts w:ascii="Arial" w:hAnsi="Arial" w:cs="Arial"/>
        </w:rPr>
        <w:t>% not wishing to disclose their sexual orientation</w:t>
      </w:r>
      <w:r w:rsidRPr="00CD4AA4">
        <w:rPr>
          <w:rFonts w:ascii="Arial" w:hAnsi="Arial" w:cs="Arial"/>
        </w:rPr>
        <w:t>.</w:t>
      </w:r>
    </w:p>
    <w:p w:rsidR="00966EDC" w:rsidRDefault="00966EDC" w:rsidP="000D329A">
      <w:pPr>
        <w:rPr>
          <w:rFonts w:ascii="Arial" w:hAnsi="Arial" w:cs="Arial"/>
        </w:rPr>
      </w:pPr>
      <w:r>
        <w:rPr>
          <w:noProof/>
          <w:lang w:eastAsia="en-GB"/>
        </w:rPr>
        <w:drawing>
          <wp:inline distT="0" distB="0" distL="0" distR="0" wp14:anchorId="5A260B28" wp14:editId="37F06560">
            <wp:extent cx="6105525" cy="3495675"/>
            <wp:effectExtent l="0" t="0" r="9525" b="9525"/>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66EDC" w:rsidRDefault="00966EDC" w:rsidP="00966EDC">
      <w:pPr>
        <w:rPr>
          <w:rFonts w:ascii="Arial" w:hAnsi="Arial" w:cs="Arial"/>
        </w:rPr>
      </w:pPr>
      <w:r>
        <w:rPr>
          <w:rFonts w:ascii="Arial" w:hAnsi="Arial" w:cs="Arial"/>
        </w:rPr>
        <w:lastRenderedPageBreak/>
        <w:t xml:space="preserve">Graph </w:t>
      </w:r>
      <w:r w:rsidR="00EE1281">
        <w:rPr>
          <w:rFonts w:ascii="Arial" w:hAnsi="Arial" w:cs="Arial"/>
        </w:rPr>
        <w:t>30</w:t>
      </w:r>
      <w:r>
        <w:rPr>
          <w:rFonts w:ascii="Arial" w:hAnsi="Arial" w:cs="Arial"/>
        </w:rPr>
        <w:t xml:space="preserve"> shows sexual orientation by staff group.  39% of Senior Medics and 8</w:t>
      </w:r>
      <w:r w:rsidR="00696F0A">
        <w:rPr>
          <w:rFonts w:ascii="Arial" w:hAnsi="Arial" w:cs="Arial"/>
        </w:rPr>
        <w:t>5</w:t>
      </w:r>
      <w:r>
        <w:rPr>
          <w:rFonts w:ascii="Arial" w:hAnsi="Arial" w:cs="Arial"/>
        </w:rPr>
        <w:t>% of Junior Medics have chosen not to declare their religion or belief.</w:t>
      </w:r>
    </w:p>
    <w:p w:rsidR="00696F0A" w:rsidRDefault="00696F0A" w:rsidP="00696F0A">
      <w:pPr>
        <w:rPr>
          <w:rFonts w:ascii="Arial" w:hAnsi="Arial" w:cs="Arial"/>
        </w:rPr>
      </w:pPr>
      <w:r w:rsidRPr="0090480B">
        <w:rPr>
          <w:rFonts w:ascii="Arial" w:hAnsi="Arial" w:cs="Arial"/>
        </w:rPr>
        <w:t xml:space="preserve">It hoped that this </w:t>
      </w:r>
      <w:r>
        <w:rPr>
          <w:rFonts w:ascii="Arial" w:hAnsi="Arial" w:cs="Arial"/>
        </w:rPr>
        <w:t xml:space="preserve">position will improve </w:t>
      </w:r>
      <w:r w:rsidRPr="0090480B">
        <w:rPr>
          <w:rFonts w:ascii="Arial" w:hAnsi="Arial" w:cs="Arial"/>
        </w:rPr>
        <w:t>via the data collection exercise scheduled for Q3/Q4 2015/16.</w:t>
      </w:r>
    </w:p>
    <w:p w:rsidR="00C23DAC" w:rsidRPr="00CD4AA4" w:rsidRDefault="00C23DAC" w:rsidP="000D329A">
      <w:pPr>
        <w:rPr>
          <w:rFonts w:ascii="Arial" w:hAnsi="Arial" w:cs="Arial"/>
        </w:rPr>
      </w:pPr>
    </w:p>
    <w:p w:rsidR="00712AE7" w:rsidRPr="00CD4AA4" w:rsidRDefault="00712AE7" w:rsidP="000D329A">
      <w:pPr>
        <w:rPr>
          <w:rFonts w:ascii="Arial" w:hAnsi="Arial" w:cs="Arial"/>
          <w:b/>
        </w:rPr>
      </w:pPr>
      <w:r w:rsidRPr="00CD4AA4">
        <w:rPr>
          <w:rFonts w:ascii="Arial" w:hAnsi="Arial" w:cs="Arial"/>
          <w:b/>
        </w:rPr>
        <w:t>7.2</w:t>
      </w:r>
      <w:r w:rsidRPr="00CD4AA4">
        <w:rPr>
          <w:rFonts w:ascii="Arial" w:hAnsi="Arial" w:cs="Arial"/>
          <w:b/>
        </w:rPr>
        <w:tab/>
        <w:t>Sexual Orientation – Observations</w:t>
      </w:r>
    </w:p>
    <w:p w:rsidR="00696F0A" w:rsidRDefault="00696F0A" w:rsidP="00696F0A">
      <w:pPr>
        <w:rPr>
          <w:rFonts w:ascii="Arial" w:hAnsi="Arial" w:cs="Arial"/>
        </w:rPr>
      </w:pPr>
      <w:r>
        <w:rPr>
          <w:rFonts w:ascii="Arial" w:hAnsi="Arial" w:cs="Arial"/>
        </w:rPr>
        <w:t xml:space="preserve">Whilst further analysis has been conducted based on sexual orientation (see accompanying profiles), due </w:t>
      </w:r>
      <w:r w:rsidRPr="00CD4AA4">
        <w:rPr>
          <w:rFonts w:ascii="Arial" w:hAnsi="Arial" w:cs="Arial"/>
        </w:rPr>
        <w:t xml:space="preserve">to the current under-reporting of staff on declared </w:t>
      </w:r>
      <w:r>
        <w:rPr>
          <w:rFonts w:ascii="Arial" w:hAnsi="Arial" w:cs="Arial"/>
        </w:rPr>
        <w:t xml:space="preserve">sexual orientation </w:t>
      </w:r>
      <w:r w:rsidRPr="00CD4AA4">
        <w:rPr>
          <w:rFonts w:ascii="Arial" w:hAnsi="Arial" w:cs="Arial"/>
        </w:rPr>
        <w:t xml:space="preserve">it is not possible </w:t>
      </w:r>
      <w:r>
        <w:rPr>
          <w:rFonts w:ascii="Arial" w:hAnsi="Arial" w:cs="Arial"/>
        </w:rPr>
        <w:t>to arrive at any firm conclusions.</w:t>
      </w:r>
    </w:p>
    <w:p w:rsidR="00712AE7" w:rsidRPr="00CD4AA4" w:rsidRDefault="00712AE7" w:rsidP="000D329A">
      <w:pPr>
        <w:jc w:val="both"/>
        <w:rPr>
          <w:rFonts w:ascii="Arial" w:hAnsi="Arial" w:cs="Arial"/>
        </w:rPr>
      </w:pPr>
      <w:r w:rsidRPr="00CD4AA4">
        <w:rPr>
          <w:rFonts w:ascii="Arial" w:hAnsi="Arial" w:cs="Arial"/>
        </w:rPr>
        <w:t>Currently the NHS Staff Survey does not present analysis on Sexual Orientation.</w:t>
      </w:r>
    </w:p>
    <w:p w:rsidR="00712AE7" w:rsidRPr="00CD4AA4" w:rsidRDefault="00712AE7" w:rsidP="000D329A">
      <w:pPr>
        <w:jc w:val="both"/>
        <w:rPr>
          <w:rFonts w:ascii="Arial" w:hAnsi="Arial" w:cs="Arial"/>
          <w:b/>
        </w:rPr>
      </w:pPr>
    </w:p>
    <w:p w:rsidR="000D7B99" w:rsidRPr="00CD4AA4" w:rsidRDefault="000D7B99" w:rsidP="000D329A">
      <w:pPr>
        <w:jc w:val="both"/>
        <w:rPr>
          <w:rFonts w:ascii="Arial" w:hAnsi="Arial" w:cs="Arial"/>
          <w:b/>
        </w:rPr>
      </w:pPr>
    </w:p>
    <w:p w:rsidR="00905AA7" w:rsidRDefault="00905AA7" w:rsidP="00712AE7">
      <w:pPr>
        <w:rPr>
          <w:rFonts w:ascii="Arial" w:hAnsi="Arial" w:cs="Arial"/>
          <w:b/>
        </w:rPr>
      </w:pPr>
    </w:p>
    <w:p w:rsidR="00734599" w:rsidRDefault="00734599" w:rsidP="00712AE7">
      <w:pPr>
        <w:rPr>
          <w:rFonts w:cs="Arial"/>
          <w:b/>
        </w:rPr>
      </w:pPr>
    </w:p>
    <w:p w:rsidR="006E70D3" w:rsidRDefault="006E70D3" w:rsidP="00712AE7">
      <w:pPr>
        <w:rPr>
          <w:rFonts w:cs="Arial"/>
          <w:b/>
        </w:rPr>
      </w:pPr>
    </w:p>
    <w:p w:rsidR="006E70D3" w:rsidRPr="00CD4AA4" w:rsidRDefault="006E70D3" w:rsidP="00712AE7">
      <w:pPr>
        <w:rPr>
          <w:rFonts w:cs="Arial"/>
          <w:b/>
        </w:rPr>
      </w:pPr>
    </w:p>
    <w:p w:rsidR="00712AE7" w:rsidRPr="00CD4AA4" w:rsidRDefault="00712AE7" w:rsidP="00393940">
      <w:pPr>
        <w:rPr>
          <w:rFonts w:ascii="Arial" w:hAnsi="Arial" w:cs="Arial"/>
        </w:rPr>
        <w:sectPr w:rsidR="00712AE7" w:rsidRPr="00CD4AA4" w:rsidSect="00CA63F0">
          <w:footerReference w:type="even" r:id="rId40"/>
          <w:footerReference w:type="default" r:id="rId41"/>
          <w:pgSz w:w="11906" w:h="16838" w:code="9"/>
          <w:pgMar w:top="1276" w:right="1134" w:bottom="1440" w:left="1134" w:header="709" w:footer="709" w:gutter="0"/>
          <w:cols w:space="708"/>
          <w:docGrid w:linePitch="360"/>
        </w:sectPr>
      </w:pPr>
    </w:p>
    <w:tbl>
      <w:tblPr>
        <w:tblpPr w:leftFromText="180" w:rightFromText="180" w:horzAnchor="margin" w:tblpXSpec="center" w:tblpY="-540"/>
        <w:tblW w:w="16229" w:type="dxa"/>
        <w:tblLayout w:type="fixed"/>
        <w:tblLook w:val="04A0" w:firstRow="1" w:lastRow="0" w:firstColumn="1" w:lastColumn="0" w:noHBand="0" w:noVBand="1"/>
      </w:tblPr>
      <w:tblGrid>
        <w:gridCol w:w="1702"/>
        <w:gridCol w:w="2409"/>
        <w:gridCol w:w="1242"/>
        <w:gridCol w:w="1134"/>
        <w:gridCol w:w="1276"/>
        <w:gridCol w:w="8466"/>
      </w:tblGrid>
      <w:tr w:rsidR="00712AE7" w:rsidRPr="00CD4AA4" w:rsidTr="00280883">
        <w:trPr>
          <w:trHeight w:val="615"/>
        </w:trPr>
        <w:tc>
          <w:tcPr>
            <w:tcW w:w="6487" w:type="dxa"/>
            <w:gridSpan w:val="4"/>
            <w:tcBorders>
              <w:top w:val="nil"/>
              <w:left w:val="nil"/>
              <w:bottom w:val="single" w:sz="8" w:space="0" w:color="auto"/>
              <w:right w:val="nil"/>
            </w:tcBorders>
            <w:shd w:val="clear" w:color="auto" w:fill="auto"/>
            <w:vAlign w:val="bottom"/>
            <w:hideMark/>
          </w:tcPr>
          <w:p w:rsidR="00712AE7" w:rsidRPr="00CD4AA4" w:rsidRDefault="0067370A" w:rsidP="00BD3DD0">
            <w:pPr>
              <w:spacing w:after="0" w:line="240" w:lineRule="auto"/>
              <w:rPr>
                <w:rFonts w:ascii="Arial" w:eastAsia="Times New Roman" w:hAnsi="Arial" w:cs="Arial"/>
                <w:b/>
                <w:bCs/>
                <w:lang w:eastAsia="en-GB"/>
              </w:rPr>
            </w:pPr>
            <w:r>
              <w:rPr>
                <w:rFonts w:ascii="Arial" w:eastAsia="Times New Roman" w:hAnsi="Arial" w:cs="Arial"/>
                <w:b/>
                <w:bCs/>
                <w:lang w:eastAsia="en-GB"/>
              </w:rPr>
              <w:lastRenderedPageBreak/>
              <w:t xml:space="preserve">SEPTEMBER </w:t>
            </w:r>
            <w:r w:rsidR="00712AE7" w:rsidRPr="00CD4AA4">
              <w:rPr>
                <w:rFonts w:ascii="Arial" w:eastAsia="Times New Roman" w:hAnsi="Arial" w:cs="Arial"/>
                <w:b/>
                <w:bCs/>
                <w:lang w:eastAsia="en-GB"/>
              </w:rPr>
              <w:t xml:space="preserve"> 201</w:t>
            </w:r>
            <w:r w:rsidR="008D474A">
              <w:rPr>
                <w:rFonts w:ascii="Arial" w:eastAsia="Times New Roman" w:hAnsi="Arial" w:cs="Arial"/>
                <w:b/>
                <w:bCs/>
                <w:lang w:eastAsia="en-GB"/>
              </w:rPr>
              <w:t>5</w:t>
            </w:r>
            <w:r w:rsidR="00712AE7" w:rsidRPr="00CD4AA4">
              <w:rPr>
                <w:rFonts w:ascii="Arial" w:eastAsia="Times New Roman" w:hAnsi="Arial" w:cs="Arial"/>
                <w:b/>
                <w:bCs/>
                <w:lang w:eastAsia="en-GB"/>
              </w:rPr>
              <w:t xml:space="preserve"> ASSESSMENT</w:t>
            </w:r>
          </w:p>
          <w:p w:rsidR="00962628" w:rsidRPr="00CD4AA4" w:rsidRDefault="00962628" w:rsidP="00BD3DD0">
            <w:pPr>
              <w:spacing w:after="0" w:line="240" w:lineRule="auto"/>
              <w:rPr>
                <w:rFonts w:ascii="Arial" w:eastAsia="Times New Roman" w:hAnsi="Arial" w:cs="Arial"/>
                <w:b/>
                <w:bCs/>
                <w:lang w:eastAsia="en-GB"/>
              </w:rPr>
            </w:pPr>
          </w:p>
        </w:tc>
        <w:tc>
          <w:tcPr>
            <w:tcW w:w="1276" w:type="dxa"/>
            <w:tcBorders>
              <w:top w:val="nil"/>
              <w:left w:val="nil"/>
              <w:bottom w:val="nil"/>
              <w:right w:val="nil"/>
            </w:tcBorders>
            <w:shd w:val="clear" w:color="auto" w:fill="auto"/>
            <w:noWrap/>
            <w:vAlign w:val="bottom"/>
            <w:hideMark/>
          </w:tcPr>
          <w:p w:rsidR="00712AE7" w:rsidRPr="00CD4AA4" w:rsidRDefault="00712AE7" w:rsidP="00BD3DD0">
            <w:pPr>
              <w:spacing w:after="0" w:line="240" w:lineRule="auto"/>
              <w:rPr>
                <w:rFonts w:eastAsia="Times New Roman" w:cs="Arial"/>
                <w:lang w:eastAsia="en-GB"/>
              </w:rPr>
            </w:pPr>
          </w:p>
        </w:tc>
        <w:tc>
          <w:tcPr>
            <w:tcW w:w="8466" w:type="dxa"/>
            <w:tcBorders>
              <w:top w:val="nil"/>
              <w:left w:val="nil"/>
              <w:bottom w:val="nil"/>
              <w:right w:val="nil"/>
            </w:tcBorders>
            <w:shd w:val="clear" w:color="auto" w:fill="auto"/>
            <w:noWrap/>
            <w:vAlign w:val="bottom"/>
            <w:hideMark/>
          </w:tcPr>
          <w:p w:rsidR="00712AE7" w:rsidRPr="00CD4AA4" w:rsidRDefault="00712AE7" w:rsidP="00BD3DD0">
            <w:pPr>
              <w:spacing w:after="0" w:line="240" w:lineRule="auto"/>
              <w:rPr>
                <w:rFonts w:eastAsia="Times New Roman" w:cs="Arial"/>
                <w:lang w:eastAsia="en-GB"/>
              </w:rPr>
            </w:pPr>
          </w:p>
        </w:tc>
      </w:tr>
      <w:tr w:rsidR="00712AE7" w:rsidRPr="00280883" w:rsidTr="00280883">
        <w:trPr>
          <w:trHeight w:val="270"/>
        </w:trPr>
        <w:tc>
          <w:tcPr>
            <w:tcW w:w="1702" w:type="dxa"/>
            <w:tcBorders>
              <w:top w:val="nil"/>
              <w:left w:val="single" w:sz="8" w:space="0" w:color="auto"/>
              <w:bottom w:val="single" w:sz="8"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b/>
                <w:bCs/>
                <w:sz w:val="24"/>
                <w:szCs w:val="24"/>
                <w:lang w:eastAsia="en-GB"/>
              </w:rPr>
            </w:pPr>
            <w:r w:rsidRPr="00280883">
              <w:rPr>
                <w:rFonts w:asciiTheme="majorHAnsi" w:eastAsia="Times New Roman" w:hAnsiTheme="majorHAnsi" w:cs="Arial"/>
                <w:b/>
                <w:bCs/>
                <w:sz w:val="24"/>
                <w:szCs w:val="24"/>
                <w:lang w:eastAsia="en-GB"/>
              </w:rPr>
              <w:t>CATEGORY</w:t>
            </w:r>
          </w:p>
        </w:tc>
        <w:tc>
          <w:tcPr>
            <w:tcW w:w="2409" w:type="dxa"/>
            <w:tcBorders>
              <w:top w:val="nil"/>
              <w:left w:val="nil"/>
              <w:bottom w:val="single" w:sz="8" w:space="0" w:color="auto"/>
              <w:right w:val="single" w:sz="4" w:space="0" w:color="auto"/>
            </w:tcBorders>
            <w:shd w:val="clear" w:color="000000" w:fill="FFFFFF"/>
            <w:vAlign w:val="center"/>
            <w:hideMark/>
          </w:tcPr>
          <w:p w:rsidR="00712AE7" w:rsidRPr="00280883" w:rsidRDefault="00712AE7" w:rsidP="00BD3DD0">
            <w:pPr>
              <w:spacing w:after="0" w:line="240" w:lineRule="auto"/>
              <w:jc w:val="center"/>
              <w:rPr>
                <w:rFonts w:asciiTheme="majorHAnsi" w:eastAsia="Times New Roman" w:hAnsiTheme="majorHAnsi" w:cs="Arial"/>
                <w:b/>
                <w:bCs/>
                <w:sz w:val="24"/>
                <w:szCs w:val="24"/>
                <w:lang w:eastAsia="en-GB"/>
              </w:rPr>
            </w:pPr>
            <w:bookmarkStart w:id="1" w:name="RANGE!C2:G22"/>
            <w:r w:rsidRPr="00280883">
              <w:rPr>
                <w:rFonts w:asciiTheme="majorHAnsi" w:eastAsia="Times New Roman" w:hAnsiTheme="majorHAnsi" w:cs="Arial"/>
                <w:b/>
                <w:bCs/>
                <w:sz w:val="24"/>
                <w:szCs w:val="24"/>
                <w:lang w:eastAsia="en-GB"/>
              </w:rPr>
              <w:t>ITEM</w:t>
            </w:r>
            <w:bookmarkEnd w:id="1"/>
          </w:p>
        </w:tc>
        <w:tc>
          <w:tcPr>
            <w:tcW w:w="1242" w:type="dxa"/>
            <w:tcBorders>
              <w:top w:val="nil"/>
              <w:left w:val="nil"/>
              <w:bottom w:val="single" w:sz="8"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b/>
                <w:bCs/>
                <w:sz w:val="24"/>
                <w:szCs w:val="24"/>
                <w:lang w:eastAsia="en-GB"/>
              </w:rPr>
            </w:pPr>
            <w:r w:rsidRPr="00280883">
              <w:rPr>
                <w:rFonts w:asciiTheme="majorHAnsi" w:eastAsia="Times New Roman" w:hAnsiTheme="majorHAnsi" w:cs="Arial"/>
                <w:b/>
                <w:bCs/>
                <w:sz w:val="24"/>
                <w:szCs w:val="24"/>
                <w:lang w:eastAsia="en-GB"/>
              </w:rPr>
              <w:t>TARGET</w:t>
            </w:r>
          </w:p>
        </w:tc>
        <w:tc>
          <w:tcPr>
            <w:tcW w:w="1134" w:type="dxa"/>
            <w:tcBorders>
              <w:top w:val="nil"/>
              <w:left w:val="nil"/>
              <w:bottom w:val="single" w:sz="8"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b/>
                <w:bCs/>
                <w:sz w:val="24"/>
                <w:szCs w:val="24"/>
                <w:lang w:eastAsia="en-GB"/>
              </w:rPr>
            </w:pPr>
            <w:r w:rsidRPr="00280883">
              <w:rPr>
                <w:rFonts w:asciiTheme="majorHAnsi" w:eastAsia="Times New Roman" w:hAnsiTheme="majorHAnsi" w:cs="Arial"/>
                <w:b/>
                <w:bCs/>
                <w:sz w:val="24"/>
                <w:szCs w:val="24"/>
                <w:lang w:eastAsia="en-GB"/>
              </w:rPr>
              <w:t>ACTUAL</w:t>
            </w:r>
          </w:p>
        </w:tc>
        <w:tc>
          <w:tcPr>
            <w:tcW w:w="1276" w:type="dxa"/>
            <w:tcBorders>
              <w:top w:val="single" w:sz="8" w:space="0" w:color="auto"/>
              <w:left w:val="nil"/>
              <w:bottom w:val="single" w:sz="8"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b/>
                <w:bCs/>
                <w:sz w:val="24"/>
                <w:szCs w:val="24"/>
                <w:lang w:eastAsia="en-GB"/>
              </w:rPr>
            </w:pPr>
            <w:r w:rsidRPr="00280883">
              <w:rPr>
                <w:rFonts w:asciiTheme="majorHAnsi" w:eastAsia="Times New Roman" w:hAnsiTheme="majorHAnsi" w:cs="Arial"/>
                <w:b/>
                <w:bCs/>
                <w:sz w:val="24"/>
                <w:szCs w:val="24"/>
                <w:lang w:eastAsia="en-GB"/>
              </w:rPr>
              <w:t>CHANGE</w:t>
            </w:r>
          </w:p>
        </w:tc>
        <w:tc>
          <w:tcPr>
            <w:tcW w:w="8466" w:type="dxa"/>
            <w:tcBorders>
              <w:top w:val="single" w:sz="8" w:space="0" w:color="auto"/>
              <w:left w:val="nil"/>
              <w:bottom w:val="single" w:sz="8" w:space="0" w:color="auto"/>
              <w:right w:val="single" w:sz="8"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b/>
                <w:bCs/>
                <w:sz w:val="24"/>
                <w:szCs w:val="24"/>
                <w:lang w:eastAsia="en-GB"/>
              </w:rPr>
            </w:pPr>
            <w:r w:rsidRPr="00280883">
              <w:rPr>
                <w:rFonts w:asciiTheme="majorHAnsi" w:eastAsia="Times New Roman" w:hAnsiTheme="majorHAnsi" w:cs="Arial"/>
                <w:b/>
                <w:bCs/>
                <w:sz w:val="24"/>
                <w:szCs w:val="24"/>
                <w:lang w:eastAsia="en-GB"/>
              </w:rPr>
              <w:t>NOTES</w:t>
            </w:r>
          </w:p>
        </w:tc>
      </w:tr>
      <w:tr w:rsidR="00712AE7" w:rsidRPr="00280883" w:rsidTr="00280883">
        <w:trPr>
          <w:trHeight w:val="1005"/>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b/>
                <w:bCs/>
                <w:sz w:val="24"/>
                <w:szCs w:val="24"/>
                <w:lang w:eastAsia="en-GB"/>
              </w:rPr>
            </w:pPr>
            <w:r w:rsidRPr="00280883">
              <w:rPr>
                <w:rFonts w:asciiTheme="majorHAnsi" w:eastAsia="Times New Roman" w:hAnsiTheme="majorHAnsi" w:cs="Arial"/>
                <w:b/>
                <w:bCs/>
                <w:sz w:val="24"/>
                <w:szCs w:val="24"/>
                <w:lang w:eastAsia="en-GB"/>
              </w:rPr>
              <w:t>ETHNICITY</w:t>
            </w:r>
          </w:p>
        </w:tc>
        <w:tc>
          <w:tcPr>
            <w:tcW w:w="2409" w:type="dxa"/>
            <w:tcBorders>
              <w:top w:val="nil"/>
              <w:left w:val="nil"/>
              <w:bottom w:val="single" w:sz="4" w:space="0" w:color="auto"/>
              <w:right w:val="single" w:sz="4" w:space="0" w:color="auto"/>
            </w:tcBorders>
            <w:shd w:val="clear" w:color="000000" w:fill="FFFFFF"/>
            <w:vAlign w:val="center"/>
            <w:hideMark/>
          </w:tcPr>
          <w:p w:rsidR="00712AE7" w:rsidRPr="00280883" w:rsidRDefault="00712AE7" w:rsidP="00BD3DD0">
            <w:pPr>
              <w:spacing w:after="0" w:line="240" w:lineRule="auto"/>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Employees BME %</w:t>
            </w:r>
          </w:p>
        </w:tc>
        <w:tc>
          <w:tcPr>
            <w:tcW w:w="1242" w:type="dxa"/>
            <w:tcBorders>
              <w:top w:val="nil"/>
              <w:left w:val="nil"/>
              <w:bottom w:val="single" w:sz="4"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29%</w:t>
            </w:r>
          </w:p>
        </w:tc>
        <w:tc>
          <w:tcPr>
            <w:tcW w:w="1134" w:type="dxa"/>
            <w:tcBorders>
              <w:top w:val="single" w:sz="8" w:space="0" w:color="auto"/>
              <w:left w:val="nil"/>
              <w:bottom w:val="single" w:sz="4" w:space="0" w:color="auto"/>
              <w:right w:val="single" w:sz="4" w:space="0" w:color="auto"/>
            </w:tcBorders>
            <w:shd w:val="clear" w:color="000000" w:fill="FFC000"/>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27</w:t>
            </w:r>
            <w:r w:rsidR="00712AE7" w:rsidRPr="00280883">
              <w:rPr>
                <w:rFonts w:asciiTheme="majorHAnsi" w:eastAsia="Times New Roman" w:hAnsiTheme="majorHAnsi" w:cs="Arial"/>
                <w:sz w:val="24"/>
                <w:szCs w:val="24"/>
                <w:lang w:eastAsia="en-GB"/>
              </w:rPr>
              <w:t>%</w:t>
            </w:r>
          </w:p>
        </w:tc>
        <w:tc>
          <w:tcPr>
            <w:tcW w:w="1276" w:type="dxa"/>
            <w:tcBorders>
              <w:top w:val="single" w:sz="4" w:space="0" w:color="auto"/>
              <w:left w:val="nil"/>
              <w:bottom w:val="nil"/>
              <w:right w:val="single" w:sz="4" w:space="0" w:color="auto"/>
            </w:tcBorders>
            <w:shd w:val="clear" w:color="000000" w:fill="FFFFFF"/>
            <w:noWrap/>
            <w:vAlign w:val="center"/>
            <w:hideMark/>
          </w:tcPr>
          <w:p w:rsidR="00712AE7" w:rsidRPr="00280883" w:rsidRDefault="00FA0A2E" w:rsidP="001B78DD">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668992" behindDoc="0" locked="0" layoutInCell="1" allowOverlap="1" wp14:anchorId="5DD2BD24" wp14:editId="78AF0044">
                  <wp:simplePos x="0" y="0"/>
                  <wp:positionH relativeFrom="column">
                    <wp:posOffset>241300</wp:posOffset>
                  </wp:positionH>
                  <wp:positionV relativeFrom="paragraph">
                    <wp:posOffset>-69850</wp:posOffset>
                  </wp:positionV>
                  <wp:extent cx="133350" cy="171450"/>
                  <wp:effectExtent l="0" t="0" r="0" b="0"/>
                  <wp:wrapNone/>
                  <wp:docPr id="18"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nil"/>
              <w:left w:val="nil"/>
              <w:bottom w:val="single" w:sz="4" w:space="0" w:color="auto"/>
              <w:right w:val="single" w:sz="8" w:space="0" w:color="auto"/>
            </w:tcBorders>
            <w:shd w:val="clear" w:color="000000" w:fill="FFFFFF"/>
            <w:vAlign w:val="center"/>
            <w:hideMark/>
          </w:tcPr>
          <w:p w:rsidR="00712AE7" w:rsidRPr="00CF02F5" w:rsidRDefault="00712AE7" w:rsidP="00D6153D">
            <w:pPr>
              <w:spacing w:after="0" w:line="240" w:lineRule="auto"/>
              <w:rPr>
                <w:rFonts w:asciiTheme="majorHAnsi" w:eastAsia="Times New Roman" w:hAnsiTheme="majorHAnsi" w:cs="Arial"/>
                <w:sz w:val="24"/>
                <w:szCs w:val="24"/>
                <w:lang w:eastAsia="en-GB"/>
              </w:rPr>
            </w:pPr>
            <w:r w:rsidRPr="00CF02F5">
              <w:rPr>
                <w:rFonts w:asciiTheme="majorHAnsi" w:eastAsia="Times New Roman" w:hAnsiTheme="majorHAnsi" w:cs="Arial"/>
                <w:sz w:val="24"/>
                <w:szCs w:val="24"/>
                <w:lang w:eastAsia="en-GB"/>
              </w:rPr>
              <w:t xml:space="preserve">The local BME population surrounding Heartlands is 52%, Solihull 11% and Good Hope 18%.  Proportionately this gives us an overall expected population of 29%. Actual staff in post are currently </w:t>
            </w:r>
            <w:r w:rsidR="00D6153D">
              <w:rPr>
                <w:rFonts w:asciiTheme="majorHAnsi" w:eastAsia="Times New Roman" w:hAnsiTheme="majorHAnsi" w:cs="Arial"/>
                <w:sz w:val="24"/>
                <w:szCs w:val="24"/>
                <w:lang w:eastAsia="en-GB"/>
              </w:rPr>
              <w:t>27</w:t>
            </w:r>
            <w:r w:rsidRPr="00CF02F5">
              <w:rPr>
                <w:rFonts w:asciiTheme="majorHAnsi" w:eastAsia="Times New Roman" w:hAnsiTheme="majorHAnsi" w:cs="Arial"/>
                <w:sz w:val="24"/>
                <w:szCs w:val="24"/>
                <w:lang w:eastAsia="en-GB"/>
              </w:rPr>
              <w:t xml:space="preserve">% which is slightly below the population and represents </w:t>
            </w:r>
            <w:r w:rsidR="00FA0A2E" w:rsidRPr="00CF02F5">
              <w:rPr>
                <w:rFonts w:asciiTheme="majorHAnsi" w:eastAsia="Times New Roman" w:hAnsiTheme="majorHAnsi" w:cs="Arial"/>
                <w:sz w:val="24"/>
                <w:szCs w:val="24"/>
                <w:lang w:eastAsia="en-GB"/>
              </w:rPr>
              <w:t xml:space="preserve">a small increase </w:t>
            </w:r>
            <w:r w:rsidRPr="00CF02F5">
              <w:rPr>
                <w:rFonts w:asciiTheme="majorHAnsi" w:eastAsia="Times New Roman" w:hAnsiTheme="majorHAnsi" w:cs="Arial"/>
                <w:sz w:val="24"/>
                <w:szCs w:val="24"/>
                <w:lang w:eastAsia="en-GB"/>
              </w:rPr>
              <w:t>from 201</w:t>
            </w:r>
            <w:r w:rsidR="00FA0A2E" w:rsidRPr="00CF02F5">
              <w:rPr>
                <w:rFonts w:asciiTheme="majorHAnsi" w:eastAsia="Times New Roman" w:hAnsiTheme="majorHAnsi" w:cs="Arial"/>
                <w:sz w:val="24"/>
                <w:szCs w:val="24"/>
                <w:lang w:eastAsia="en-GB"/>
              </w:rPr>
              <w:t>4</w:t>
            </w:r>
            <w:r w:rsidRPr="00CF02F5">
              <w:rPr>
                <w:rFonts w:asciiTheme="majorHAnsi" w:eastAsia="Times New Roman" w:hAnsiTheme="majorHAnsi" w:cs="Arial"/>
                <w:sz w:val="24"/>
                <w:szCs w:val="24"/>
                <w:lang w:eastAsia="en-GB"/>
              </w:rPr>
              <w:t>.</w:t>
            </w:r>
          </w:p>
        </w:tc>
      </w:tr>
      <w:tr w:rsidR="00712AE7" w:rsidRPr="00280883" w:rsidTr="00280883">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xml:space="preserve"> </w:t>
            </w:r>
          </w:p>
        </w:tc>
        <w:tc>
          <w:tcPr>
            <w:tcW w:w="2409" w:type="dxa"/>
            <w:tcBorders>
              <w:top w:val="nil"/>
              <w:left w:val="nil"/>
              <w:bottom w:val="single" w:sz="4" w:space="0" w:color="auto"/>
              <w:right w:val="single" w:sz="4" w:space="0" w:color="auto"/>
            </w:tcBorders>
            <w:shd w:val="clear" w:color="000000" w:fill="FFFFFF"/>
            <w:vAlign w:val="center"/>
            <w:hideMark/>
          </w:tcPr>
          <w:p w:rsidR="00712AE7" w:rsidRPr="00280883" w:rsidRDefault="00712AE7" w:rsidP="001B78DD">
            <w:pPr>
              <w:spacing w:after="0" w:line="240" w:lineRule="auto"/>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xml:space="preserve">Last </w:t>
            </w:r>
            <w:r w:rsidR="001B78DD">
              <w:rPr>
                <w:rFonts w:asciiTheme="majorHAnsi" w:eastAsia="Times New Roman" w:hAnsiTheme="majorHAnsi" w:cs="Arial"/>
                <w:sz w:val="24"/>
                <w:szCs w:val="24"/>
                <w:lang w:eastAsia="en-GB"/>
              </w:rPr>
              <w:t>12</w:t>
            </w:r>
            <w:r w:rsidRPr="00280883">
              <w:rPr>
                <w:rFonts w:asciiTheme="majorHAnsi" w:eastAsia="Times New Roman" w:hAnsiTheme="majorHAnsi" w:cs="Arial"/>
                <w:sz w:val="24"/>
                <w:szCs w:val="24"/>
                <w:lang w:eastAsia="en-GB"/>
              </w:rPr>
              <w:t xml:space="preserve"> mths Appointments BME %</w:t>
            </w:r>
          </w:p>
        </w:tc>
        <w:tc>
          <w:tcPr>
            <w:tcW w:w="1242" w:type="dxa"/>
            <w:tcBorders>
              <w:top w:val="nil"/>
              <w:left w:val="nil"/>
              <w:bottom w:val="single" w:sz="4"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29%</w:t>
            </w:r>
          </w:p>
        </w:tc>
        <w:tc>
          <w:tcPr>
            <w:tcW w:w="1134" w:type="dxa"/>
            <w:tcBorders>
              <w:top w:val="single" w:sz="4" w:space="0" w:color="auto"/>
              <w:left w:val="nil"/>
              <w:bottom w:val="single" w:sz="4" w:space="0" w:color="auto"/>
              <w:right w:val="single" w:sz="4" w:space="0" w:color="auto"/>
            </w:tcBorders>
            <w:shd w:val="clear" w:color="000000" w:fill="00B050"/>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30</w:t>
            </w:r>
            <w:r w:rsidR="00712AE7" w:rsidRPr="00280883">
              <w:rPr>
                <w:rFonts w:asciiTheme="majorHAnsi" w:eastAsia="Times New Roman" w:hAnsiTheme="majorHAnsi" w:cs="Arial"/>
                <w:sz w:val="24"/>
                <w:szCs w:val="24"/>
                <w:lang w:eastAsia="en-GB"/>
              </w:rPr>
              <w:t>%</w:t>
            </w:r>
          </w:p>
        </w:tc>
        <w:tc>
          <w:tcPr>
            <w:tcW w:w="1276" w:type="dxa"/>
            <w:tcBorders>
              <w:top w:val="single" w:sz="4" w:space="0" w:color="auto"/>
              <w:left w:val="nil"/>
              <w:bottom w:val="nil"/>
              <w:right w:val="single" w:sz="4" w:space="0" w:color="auto"/>
            </w:tcBorders>
            <w:shd w:val="clear" w:color="000000" w:fill="FFFFFF"/>
            <w:noWrap/>
            <w:vAlign w:val="center"/>
            <w:hideMark/>
          </w:tcPr>
          <w:p w:rsidR="00712AE7" w:rsidRPr="00280883" w:rsidRDefault="001B78DD" w:rsidP="001B78DD">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681280" behindDoc="0" locked="0" layoutInCell="1" allowOverlap="1" wp14:anchorId="6E95E759" wp14:editId="07D92E22">
                  <wp:simplePos x="0" y="0"/>
                  <wp:positionH relativeFrom="column">
                    <wp:posOffset>195580</wp:posOffset>
                  </wp:positionH>
                  <wp:positionV relativeFrom="paragraph">
                    <wp:posOffset>-86360</wp:posOffset>
                  </wp:positionV>
                  <wp:extent cx="180975" cy="190500"/>
                  <wp:effectExtent l="0" t="0" r="9525" b="0"/>
                  <wp:wrapNone/>
                  <wp:docPr id="6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nil"/>
              <w:left w:val="nil"/>
              <w:bottom w:val="single" w:sz="4" w:space="0" w:color="auto"/>
              <w:right w:val="single" w:sz="8" w:space="0" w:color="auto"/>
            </w:tcBorders>
            <w:shd w:val="clear" w:color="000000" w:fill="FFFFFF"/>
            <w:vAlign w:val="center"/>
            <w:hideMark/>
          </w:tcPr>
          <w:p w:rsidR="00712AE7" w:rsidRPr="00CF02F5" w:rsidRDefault="00712AE7" w:rsidP="00D6153D">
            <w:pPr>
              <w:spacing w:after="0" w:line="240" w:lineRule="auto"/>
              <w:ind w:firstLineChars="14" w:firstLine="34"/>
              <w:rPr>
                <w:rFonts w:asciiTheme="majorHAnsi" w:eastAsia="Times New Roman" w:hAnsiTheme="majorHAnsi" w:cs="Arial"/>
                <w:sz w:val="24"/>
                <w:szCs w:val="24"/>
                <w:lang w:eastAsia="en-GB"/>
              </w:rPr>
            </w:pPr>
            <w:r w:rsidRPr="00CF02F5">
              <w:rPr>
                <w:rFonts w:asciiTheme="majorHAnsi" w:eastAsia="Times New Roman" w:hAnsiTheme="majorHAnsi" w:cs="Arial"/>
                <w:sz w:val="24"/>
                <w:szCs w:val="24"/>
                <w:lang w:eastAsia="en-GB"/>
              </w:rPr>
              <w:t xml:space="preserve">Recent appointments from BME groups </w:t>
            </w:r>
            <w:r w:rsidR="00D6153D">
              <w:rPr>
                <w:rFonts w:asciiTheme="majorHAnsi" w:eastAsia="Times New Roman" w:hAnsiTheme="majorHAnsi" w:cs="Arial"/>
                <w:sz w:val="24"/>
                <w:szCs w:val="24"/>
                <w:lang w:eastAsia="en-GB"/>
              </w:rPr>
              <w:t>decreased 33</w:t>
            </w:r>
            <w:r w:rsidRPr="00CF02F5">
              <w:rPr>
                <w:rFonts w:asciiTheme="majorHAnsi" w:eastAsia="Times New Roman" w:hAnsiTheme="majorHAnsi" w:cs="Arial"/>
                <w:sz w:val="24"/>
                <w:szCs w:val="24"/>
                <w:lang w:eastAsia="en-GB"/>
              </w:rPr>
              <w:t xml:space="preserve">% last year to </w:t>
            </w:r>
            <w:r w:rsidR="00D6153D">
              <w:rPr>
                <w:rFonts w:asciiTheme="majorHAnsi" w:eastAsia="Times New Roman" w:hAnsiTheme="majorHAnsi" w:cs="Arial"/>
                <w:sz w:val="24"/>
                <w:szCs w:val="24"/>
                <w:lang w:eastAsia="en-GB"/>
              </w:rPr>
              <w:t>30</w:t>
            </w:r>
            <w:r w:rsidRPr="00CF02F5">
              <w:rPr>
                <w:rFonts w:asciiTheme="majorHAnsi" w:eastAsia="Times New Roman" w:hAnsiTheme="majorHAnsi" w:cs="Arial"/>
                <w:sz w:val="24"/>
                <w:szCs w:val="24"/>
                <w:lang w:eastAsia="en-GB"/>
              </w:rPr>
              <w:t>%.</w:t>
            </w:r>
          </w:p>
        </w:tc>
      </w:tr>
      <w:tr w:rsidR="00712AE7" w:rsidRPr="00280883" w:rsidTr="001B78DD">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xml:space="preserve"> </w:t>
            </w:r>
          </w:p>
        </w:tc>
        <w:tc>
          <w:tcPr>
            <w:tcW w:w="2409" w:type="dxa"/>
            <w:tcBorders>
              <w:top w:val="nil"/>
              <w:left w:val="nil"/>
              <w:bottom w:val="single" w:sz="4" w:space="0" w:color="auto"/>
              <w:right w:val="single" w:sz="4" w:space="0" w:color="auto"/>
            </w:tcBorders>
            <w:shd w:val="clear" w:color="000000" w:fill="FFFFFF"/>
            <w:vAlign w:val="center"/>
            <w:hideMark/>
          </w:tcPr>
          <w:p w:rsidR="00712AE7" w:rsidRPr="00280883" w:rsidRDefault="00B23A3A" w:rsidP="00BD3DD0">
            <w:pPr>
              <w:spacing w:after="0" w:line="240" w:lineRule="auto"/>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Last</w:t>
            </w:r>
            <w:r w:rsidR="00712AE7" w:rsidRPr="00280883">
              <w:rPr>
                <w:rFonts w:asciiTheme="majorHAnsi" w:eastAsia="Times New Roman" w:hAnsiTheme="majorHAnsi" w:cs="Arial"/>
                <w:sz w:val="24"/>
                <w:szCs w:val="24"/>
                <w:lang w:eastAsia="en-GB"/>
              </w:rPr>
              <w:t xml:space="preserve"> 6 months Promotions BME %</w:t>
            </w:r>
          </w:p>
        </w:tc>
        <w:tc>
          <w:tcPr>
            <w:tcW w:w="1242" w:type="dxa"/>
            <w:tcBorders>
              <w:top w:val="nil"/>
              <w:left w:val="nil"/>
              <w:bottom w:val="single" w:sz="4" w:space="0" w:color="auto"/>
              <w:right w:val="single" w:sz="4" w:space="0" w:color="auto"/>
            </w:tcBorders>
            <w:shd w:val="clear" w:color="000000" w:fill="FFFFFF"/>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27</w:t>
            </w:r>
            <w:r w:rsidR="00712AE7" w:rsidRPr="00280883">
              <w:rPr>
                <w:rFonts w:asciiTheme="majorHAnsi" w:eastAsia="Times New Roman" w:hAnsiTheme="majorHAnsi" w:cs="Arial"/>
                <w:sz w:val="24"/>
                <w:szCs w:val="24"/>
                <w:lang w:eastAsia="en-GB"/>
              </w:rPr>
              <w:t>%</w:t>
            </w:r>
          </w:p>
        </w:tc>
        <w:tc>
          <w:tcPr>
            <w:tcW w:w="1134" w:type="dxa"/>
            <w:tcBorders>
              <w:top w:val="single" w:sz="4" w:space="0" w:color="auto"/>
              <w:left w:val="nil"/>
              <w:bottom w:val="single" w:sz="4" w:space="0" w:color="auto"/>
              <w:right w:val="single" w:sz="4" w:space="0" w:color="auto"/>
            </w:tcBorders>
            <w:shd w:val="clear" w:color="auto" w:fill="FFC000"/>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23</w:t>
            </w:r>
            <w:r w:rsidR="00712AE7" w:rsidRPr="00280883">
              <w:rPr>
                <w:rFonts w:asciiTheme="majorHAnsi" w:eastAsia="Times New Roman" w:hAnsiTheme="majorHAnsi" w:cs="Arial"/>
                <w:sz w:val="24"/>
                <w:szCs w:val="24"/>
                <w:lang w:eastAsia="en-GB"/>
              </w:rPr>
              <w:t>%</w:t>
            </w:r>
          </w:p>
        </w:tc>
        <w:tc>
          <w:tcPr>
            <w:tcW w:w="1276" w:type="dxa"/>
            <w:tcBorders>
              <w:top w:val="single" w:sz="4" w:space="0" w:color="auto"/>
              <w:left w:val="nil"/>
              <w:bottom w:val="nil"/>
              <w:right w:val="single" w:sz="4" w:space="0" w:color="auto"/>
            </w:tcBorders>
            <w:shd w:val="clear" w:color="000000" w:fill="FFFFFF"/>
            <w:noWrap/>
            <w:vAlign w:val="center"/>
            <w:hideMark/>
          </w:tcPr>
          <w:p w:rsidR="00712AE7" w:rsidRPr="00280883" w:rsidRDefault="00D6153D" w:rsidP="001B78DD">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705856" behindDoc="0" locked="0" layoutInCell="1" allowOverlap="1" wp14:anchorId="472F0AF9" wp14:editId="72C4DF7A">
                  <wp:simplePos x="0" y="0"/>
                  <wp:positionH relativeFrom="column">
                    <wp:posOffset>233680</wp:posOffset>
                  </wp:positionH>
                  <wp:positionV relativeFrom="paragraph">
                    <wp:posOffset>-113030</wp:posOffset>
                  </wp:positionV>
                  <wp:extent cx="133350" cy="171450"/>
                  <wp:effectExtent l="0" t="0" r="0" b="0"/>
                  <wp:wrapNone/>
                  <wp:docPr id="76"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nil"/>
              <w:left w:val="nil"/>
              <w:bottom w:val="single" w:sz="4" w:space="0" w:color="auto"/>
              <w:right w:val="single" w:sz="8" w:space="0" w:color="auto"/>
            </w:tcBorders>
            <w:shd w:val="clear" w:color="000000" w:fill="FFFFFF"/>
            <w:vAlign w:val="center"/>
            <w:hideMark/>
          </w:tcPr>
          <w:p w:rsidR="00712AE7" w:rsidRPr="00CF02F5" w:rsidRDefault="00712AE7" w:rsidP="00D6153D">
            <w:pPr>
              <w:spacing w:after="0" w:line="240" w:lineRule="auto"/>
              <w:rPr>
                <w:rFonts w:asciiTheme="majorHAnsi" w:eastAsia="Times New Roman" w:hAnsiTheme="majorHAnsi" w:cs="Arial"/>
                <w:sz w:val="24"/>
                <w:szCs w:val="24"/>
                <w:lang w:eastAsia="en-GB"/>
              </w:rPr>
            </w:pPr>
            <w:r w:rsidRPr="00CF02F5">
              <w:rPr>
                <w:rFonts w:asciiTheme="majorHAnsi" w:eastAsia="Times New Roman" w:hAnsiTheme="majorHAnsi" w:cs="Arial"/>
                <w:sz w:val="24"/>
                <w:szCs w:val="24"/>
                <w:lang w:eastAsia="en-GB"/>
              </w:rPr>
              <w:t xml:space="preserve">The proportion of promotions amongst BME staff has </w:t>
            </w:r>
            <w:r w:rsidR="00D6153D">
              <w:rPr>
                <w:rFonts w:asciiTheme="majorHAnsi" w:eastAsia="Times New Roman" w:hAnsiTheme="majorHAnsi" w:cs="Arial"/>
                <w:sz w:val="24"/>
                <w:szCs w:val="24"/>
                <w:lang w:eastAsia="en-GB"/>
              </w:rPr>
              <w:t>increase</w:t>
            </w:r>
            <w:r w:rsidR="00FA0A2E" w:rsidRPr="00CF02F5">
              <w:rPr>
                <w:rFonts w:asciiTheme="majorHAnsi" w:eastAsia="Times New Roman" w:hAnsiTheme="majorHAnsi" w:cs="Arial"/>
                <w:sz w:val="24"/>
                <w:szCs w:val="24"/>
                <w:lang w:eastAsia="en-GB"/>
              </w:rPr>
              <w:t xml:space="preserve"> from </w:t>
            </w:r>
            <w:r w:rsidR="00D6153D">
              <w:rPr>
                <w:rFonts w:asciiTheme="majorHAnsi" w:eastAsia="Times New Roman" w:hAnsiTheme="majorHAnsi" w:cs="Arial"/>
                <w:sz w:val="24"/>
                <w:szCs w:val="24"/>
                <w:lang w:eastAsia="en-GB"/>
              </w:rPr>
              <w:t>17</w:t>
            </w:r>
            <w:r w:rsidRPr="00CF02F5">
              <w:rPr>
                <w:rFonts w:asciiTheme="majorHAnsi" w:eastAsia="Times New Roman" w:hAnsiTheme="majorHAnsi" w:cs="Arial"/>
                <w:sz w:val="24"/>
                <w:szCs w:val="24"/>
                <w:lang w:eastAsia="en-GB"/>
              </w:rPr>
              <w:t xml:space="preserve">% last year to </w:t>
            </w:r>
            <w:r w:rsidR="00D6153D">
              <w:rPr>
                <w:rFonts w:asciiTheme="majorHAnsi" w:eastAsia="Times New Roman" w:hAnsiTheme="majorHAnsi" w:cs="Arial"/>
                <w:sz w:val="24"/>
                <w:szCs w:val="24"/>
                <w:lang w:eastAsia="en-GB"/>
              </w:rPr>
              <w:t>23</w:t>
            </w:r>
            <w:r w:rsidRPr="00CF02F5">
              <w:rPr>
                <w:rFonts w:asciiTheme="majorHAnsi" w:eastAsia="Times New Roman" w:hAnsiTheme="majorHAnsi" w:cs="Arial"/>
                <w:sz w:val="24"/>
                <w:szCs w:val="24"/>
                <w:lang w:eastAsia="en-GB"/>
              </w:rPr>
              <w:t>%.</w:t>
            </w:r>
          </w:p>
        </w:tc>
      </w:tr>
      <w:tr w:rsidR="00712AE7" w:rsidRPr="00280883" w:rsidTr="001B78DD">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xml:space="preserve"> </w:t>
            </w:r>
          </w:p>
        </w:tc>
        <w:tc>
          <w:tcPr>
            <w:tcW w:w="2409" w:type="dxa"/>
            <w:tcBorders>
              <w:top w:val="nil"/>
              <w:left w:val="nil"/>
              <w:bottom w:val="nil"/>
              <w:right w:val="single" w:sz="4" w:space="0" w:color="auto"/>
            </w:tcBorders>
            <w:shd w:val="clear" w:color="000000" w:fill="FFFFFF"/>
            <w:vAlign w:val="center"/>
            <w:hideMark/>
          </w:tcPr>
          <w:p w:rsidR="00712AE7" w:rsidRPr="00280883" w:rsidRDefault="00712AE7" w:rsidP="00BD3DD0">
            <w:pPr>
              <w:spacing w:after="0" w:line="240" w:lineRule="auto"/>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Leavers BME %</w:t>
            </w:r>
          </w:p>
        </w:tc>
        <w:tc>
          <w:tcPr>
            <w:tcW w:w="1242" w:type="dxa"/>
            <w:tcBorders>
              <w:top w:val="nil"/>
              <w:left w:val="nil"/>
              <w:bottom w:val="single" w:sz="4" w:space="0" w:color="auto"/>
              <w:right w:val="single" w:sz="4" w:space="0" w:color="auto"/>
            </w:tcBorders>
            <w:shd w:val="clear" w:color="000000" w:fill="FFFFFF"/>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27</w:t>
            </w:r>
            <w:r w:rsidR="00712AE7" w:rsidRPr="00280883">
              <w:rPr>
                <w:rFonts w:asciiTheme="majorHAnsi" w:eastAsia="Times New Roman" w:hAnsiTheme="majorHAnsi" w:cs="Arial"/>
                <w:sz w:val="24"/>
                <w:szCs w:val="24"/>
                <w:lang w:eastAsia="en-GB"/>
              </w:rPr>
              <w:t>%</w:t>
            </w:r>
          </w:p>
        </w:tc>
        <w:tc>
          <w:tcPr>
            <w:tcW w:w="1134" w:type="dxa"/>
            <w:tcBorders>
              <w:top w:val="single" w:sz="4" w:space="0" w:color="auto"/>
              <w:left w:val="nil"/>
              <w:bottom w:val="single" w:sz="4" w:space="0" w:color="auto"/>
              <w:right w:val="single" w:sz="4" w:space="0" w:color="auto"/>
            </w:tcBorders>
            <w:shd w:val="clear" w:color="auto" w:fill="00B050"/>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24</w:t>
            </w:r>
            <w:r w:rsidR="00712AE7" w:rsidRPr="00280883">
              <w:rPr>
                <w:rFonts w:asciiTheme="majorHAnsi" w:eastAsia="Times New Roman" w:hAnsiTheme="majorHAnsi" w:cs="Arial"/>
                <w:sz w:val="24"/>
                <w:szCs w:val="24"/>
                <w:lang w:eastAsia="en-GB"/>
              </w:rPr>
              <w:t>%</w:t>
            </w:r>
          </w:p>
        </w:tc>
        <w:tc>
          <w:tcPr>
            <w:tcW w:w="1276" w:type="dxa"/>
            <w:tcBorders>
              <w:top w:val="single" w:sz="4" w:space="0" w:color="auto"/>
              <w:left w:val="nil"/>
              <w:bottom w:val="nil"/>
              <w:right w:val="single" w:sz="4" w:space="0" w:color="auto"/>
            </w:tcBorders>
            <w:shd w:val="clear" w:color="000000" w:fill="FFFFFF"/>
            <w:noWrap/>
            <w:vAlign w:val="center"/>
            <w:hideMark/>
          </w:tcPr>
          <w:p w:rsidR="00712AE7" w:rsidRPr="00280883" w:rsidRDefault="001B78DD" w:rsidP="001B78DD">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683328" behindDoc="0" locked="0" layoutInCell="1" allowOverlap="1" wp14:anchorId="7AA1F5A2" wp14:editId="32593C24">
                  <wp:simplePos x="0" y="0"/>
                  <wp:positionH relativeFrom="column">
                    <wp:posOffset>168910</wp:posOffset>
                  </wp:positionH>
                  <wp:positionV relativeFrom="paragraph">
                    <wp:posOffset>-29210</wp:posOffset>
                  </wp:positionV>
                  <wp:extent cx="180975" cy="190500"/>
                  <wp:effectExtent l="0" t="0" r="9525" b="0"/>
                  <wp:wrapNone/>
                  <wp:docPr id="64"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nil"/>
              <w:left w:val="nil"/>
              <w:bottom w:val="nil"/>
              <w:right w:val="single" w:sz="8" w:space="0" w:color="auto"/>
            </w:tcBorders>
            <w:shd w:val="clear" w:color="000000" w:fill="FFFFFF"/>
            <w:vAlign w:val="center"/>
            <w:hideMark/>
          </w:tcPr>
          <w:p w:rsidR="00712AE7" w:rsidRPr="00CF02F5" w:rsidRDefault="00D6153D" w:rsidP="00D6153D">
            <w:pPr>
              <w:spacing w:after="0" w:line="240" w:lineRule="auto"/>
              <w:ind w:firstLineChars="14" w:firstLine="34"/>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24</w:t>
            </w:r>
            <w:r w:rsidR="00712AE7" w:rsidRPr="00CF02F5">
              <w:rPr>
                <w:rFonts w:asciiTheme="majorHAnsi" w:eastAsia="Times New Roman" w:hAnsiTheme="majorHAnsi" w:cs="Arial"/>
                <w:sz w:val="24"/>
                <w:szCs w:val="24"/>
                <w:lang w:eastAsia="en-GB"/>
              </w:rPr>
              <w:t xml:space="preserve">% </w:t>
            </w:r>
            <w:r w:rsidR="00FA0A2E" w:rsidRPr="00CF02F5">
              <w:rPr>
                <w:rFonts w:asciiTheme="majorHAnsi" w:eastAsia="Times New Roman" w:hAnsiTheme="majorHAnsi" w:cs="Arial"/>
                <w:sz w:val="24"/>
                <w:szCs w:val="24"/>
                <w:lang w:eastAsia="en-GB"/>
              </w:rPr>
              <w:t>o</w:t>
            </w:r>
            <w:r w:rsidR="00B23A3A" w:rsidRPr="00CF02F5">
              <w:rPr>
                <w:rFonts w:asciiTheme="majorHAnsi" w:eastAsia="Times New Roman" w:hAnsiTheme="majorHAnsi" w:cs="Arial"/>
                <w:sz w:val="24"/>
                <w:szCs w:val="24"/>
                <w:lang w:eastAsia="en-GB"/>
              </w:rPr>
              <w:t>f</w:t>
            </w:r>
            <w:r w:rsidR="00712AE7" w:rsidRPr="00CF02F5">
              <w:rPr>
                <w:rFonts w:asciiTheme="majorHAnsi" w:eastAsia="Times New Roman" w:hAnsiTheme="majorHAnsi" w:cs="Arial"/>
                <w:sz w:val="24"/>
                <w:szCs w:val="24"/>
                <w:lang w:eastAsia="en-GB"/>
              </w:rPr>
              <w:t xml:space="preserve"> Leavers </w:t>
            </w:r>
            <w:r w:rsidR="00FA0A2E" w:rsidRPr="00CF02F5">
              <w:rPr>
                <w:rFonts w:asciiTheme="majorHAnsi" w:eastAsia="Times New Roman" w:hAnsiTheme="majorHAnsi" w:cs="Arial"/>
                <w:sz w:val="24"/>
                <w:szCs w:val="24"/>
                <w:lang w:eastAsia="en-GB"/>
              </w:rPr>
              <w:t xml:space="preserve">were </w:t>
            </w:r>
            <w:r w:rsidR="00712AE7" w:rsidRPr="00CF02F5">
              <w:rPr>
                <w:rFonts w:asciiTheme="majorHAnsi" w:eastAsia="Times New Roman" w:hAnsiTheme="majorHAnsi" w:cs="Arial"/>
                <w:sz w:val="24"/>
                <w:szCs w:val="24"/>
                <w:lang w:eastAsia="en-GB"/>
              </w:rPr>
              <w:t>from BME groups</w:t>
            </w:r>
            <w:r w:rsidR="00FA0A2E" w:rsidRPr="00CF02F5">
              <w:rPr>
                <w:rFonts w:asciiTheme="majorHAnsi" w:eastAsia="Times New Roman" w:hAnsiTheme="majorHAnsi" w:cs="Arial"/>
                <w:sz w:val="24"/>
                <w:szCs w:val="24"/>
                <w:lang w:eastAsia="en-GB"/>
              </w:rPr>
              <w:t>, a r</w:t>
            </w:r>
            <w:r>
              <w:rPr>
                <w:rFonts w:asciiTheme="majorHAnsi" w:eastAsia="Times New Roman" w:hAnsiTheme="majorHAnsi" w:cs="Arial"/>
                <w:sz w:val="24"/>
                <w:szCs w:val="24"/>
                <w:lang w:eastAsia="en-GB"/>
              </w:rPr>
              <w:t xml:space="preserve">eduction of </w:t>
            </w:r>
            <w:r w:rsidR="00FA0A2E" w:rsidRPr="00CF02F5">
              <w:rPr>
                <w:rFonts w:asciiTheme="majorHAnsi" w:eastAsia="Times New Roman" w:hAnsiTheme="majorHAnsi" w:cs="Arial"/>
                <w:sz w:val="24"/>
                <w:szCs w:val="24"/>
                <w:lang w:eastAsia="en-GB"/>
              </w:rPr>
              <w:t>12% since last year.</w:t>
            </w:r>
          </w:p>
        </w:tc>
      </w:tr>
      <w:tr w:rsidR="00712AE7" w:rsidRPr="00280883" w:rsidTr="001B78DD">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w:t>
            </w:r>
          </w:p>
        </w:tc>
        <w:tc>
          <w:tcPr>
            <w:tcW w:w="2409" w:type="dxa"/>
            <w:tcBorders>
              <w:top w:val="single" w:sz="4" w:space="0" w:color="auto"/>
              <w:left w:val="nil"/>
              <w:bottom w:val="nil"/>
              <w:right w:val="single" w:sz="4" w:space="0" w:color="auto"/>
            </w:tcBorders>
            <w:shd w:val="clear" w:color="000000" w:fill="FFFFFF"/>
            <w:vAlign w:val="center"/>
            <w:hideMark/>
          </w:tcPr>
          <w:p w:rsidR="00712AE7" w:rsidRPr="00280883" w:rsidRDefault="00712AE7" w:rsidP="00BD3DD0">
            <w:pPr>
              <w:spacing w:after="0" w:line="240" w:lineRule="auto"/>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Grievance BME %</w:t>
            </w:r>
          </w:p>
        </w:tc>
        <w:tc>
          <w:tcPr>
            <w:tcW w:w="1242" w:type="dxa"/>
            <w:tcBorders>
              <w:top w:val="nil"/>
              <w:left w:val="nil"/>
              <w:bottom w:val="single" w:sz="4" w:space="0" w:color="auto"/>
              <w:right w:val="single" w:sz="4" w:space="0" w:color="auto"/>
            </w:tcBorders>
            <w:shd w:val="clear" w:color="000000" w:fill="FFFFFF"/>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27</w:t>
            </w:r>
            <w:r w:rsidR="00712AE7" w:rsidRPr="00280883">
              <w:rPr>
                <w:rFonts w:asciiTheme="majorHAnsi" w:eastAsia="Times New Roman" w:hAnsiTheme="majorHAnsi" w:cs="Arial"/>
                <w:sz w:val="24"/>
                <w:szCs w:val="24"/>
                <w:lang w:eastAsia="en-GB"/>
              </w:rPr>
              <w:t>%</w:t>
            </w:r>
          </w:p>
        </w:tc>
        <w:tc>
          <w:tcPr>
            <w:tcW w:w="1134" w:type="dxa"/>
            <w:tcBorders>
              <w:top w:val="single" w:sz="4" w:space="0" w:color="auto"/>
              <w:left w:val="nil"/>
              <w:bottom w:val="single" w:sz="4" w:space="0" w:color="auto"/>
              <w:right w:val="single" w:sz="4" w:space="0" w:color="auto"/>
            </w:tcBorders>
            <w:shd w:val="clear" w:color="auto" w:fill="FF0000"/>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38</w:t>
            </w:r>
            <w:r w:rsidR="00712AE7" w:rsidRPr="00280883">
              <w:rPr>
                <w:rFonts w:asciiTheme="majorHAnsi" w:eastAsia="Times New Roman" w:hAnsiTheme="majorHAnsi" w:cs="Arial"/>
                <w:sz w:val="24"/>
                <w:szCs w:val="24"/>
                <w:lang w:eastAsia="en-GB"/>
              </w:rPr>
              <w:t>%</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12AE7" w:rsidRPr="00280883" w:rsidRDefault="001B78DD" w:rsidP="001B78DD">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685376" behindDoc="0" locked="0" layoutInCell="1" allowOverlap="1" wp14:anchorId="0A282B61" wp14:editId="4214D3EC">
                  <wp:simplePos x="0" y="0"/>
                  <wp:positionH relativeFrom="column">
                    <wp:posOffset>209550</wp:posOffset>
                  </wp:positionH>
                  <wp:positionV relativeFrom="paragraph">
                    <wp:posOffset>-18415</wp:posOffset>
                  </wp:positionV>
                  <wp:extent cx="133350" cy="171450"/>
                  <wp:effectExtent l="0" t="0" r="0" b="0"/>
                  <wp:wrapNone/>
                  <wp:docPr id="65"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single" w:sz="4" w:space="0" w:color="auto"/>
              <w:left w:val="nil"/>
              <w:bottom w:val="nil"/>
              <w:right w:val="single" w:sz="8" w:space="0" w:color="auto"/>
            </w:tcBorders>
            <w:shd w:val="clear" w:color="000000" w:fill="FFFFFF"/>
            <w:vAlign w:val="center"/>
            <w:hideMark/>
          </w:tcPr>
          <w:p w:rsidR="00712AE7" w:rsidRPr="00CF02F5" w:rsidRDefault="00FA0A2E" w:rsidP="00D6153D">
            <w:pPr>
              <w:spacing w:after="0" w:line="240" w:lineRule="auto"/>
              <w:rPr>
                <w:rFonts w:asciiTheme="majorHAnsi" w:eastAsia="Times New Roman" w:hAnsiTheme="majorHAnsi" w:cs="Arial"/>
                <w:sz w:val="24"/>
                <w:szCs w:val="24"/>
                <w:lang w:eastAsia="en-GB"/>
              </w:rPr>
            </w:pPr>
            <w:r w:rsidRPr="00CF02F5">
              <w:rPr>
                <w:rFonts w:asciiTheme="majorHAnsi" w:eastAsia="Times New Roman" w:hAnsiTheme="majorHAnsi" w:cs="Arial"/>
                <w:sz w:val="24"/>
                <w:szCs w:val="24"/>
                <w:lang w:eastAsia="en-GB"/>
              </w:rPr>
              <w:t>The percentage of grievance cases from BME staff</w:t>
            </w:r>
            <w:r w:rsidR="00A43F91" w:rsidRPr="00CF02F5">
              <w:rPr>
                <w:rFonts w:asciiTheme="majorHAnsi" w:eastAsia="Times New Roman" w:hAnsiTheme="majorHAnsi" w:cs="Arial"/>
                <w:sz w:val="24"/>
                <w:szCs w:val="24"/>
                <w:lang w:eastAsia="en-GB"/>
              </w:rPr>
              <w:t xml:space="preserve"> in the reporting period </w:t>
            </w:r>
            <w:r w:rsidR="00D6153D">
              <w:rPr>
                <w:rFonts w:asciiTheme="majorHAnsi" w:eastAsia="Times New Roman" w:hAnsiTheme="majorHAnsi" w:cs="Arial"/>
                <w:sz w:val="24"/>
                <w:szCs w:val="24"/>
                <w:lang w:eastAsia="en-GB"/>
              </w:rPr>
              <w:t xml:space="preserve">increased to 38% an increase from </w:t>
            </w:r>
            <w:r w:rsidR="00A43F91" w:rsidRPr="00CF02F5">
              <w:rPr>
                <w:rFonts w:asciiTheme="majorHAnsi" w:eastAsia="Times New Roman" w:hAnsiTheme="majorHAnsi" w:cs="Arial"/>
                <w:sz w:val="24"/>
                <w:szCs w:val="24"/>
                <w:lang w:eastAsia="en-GB"/>
              </w:rPr>
              <w:t>25%</w:t>
            </w:r>
            <w:r w:rsidR="00D6153D">
              <w:rPr>
                <w:rFonts w:asciiTheme="majorHAnsi" w:eastAsia="Times New Roman" w:hAnsiTheme="majorHAnsi" w:cs="Arial"/>
                <w:sz w:val="24"/>
                <w:szCs w:val="24"/>
                <w:lang w:eastAsia="en-GB"/>
              </w:rPr>
              <w:t xml:space="preserve"> last year and nearer to 2014 levels of </w:t>
            </w:r>
            <w:r w:rsidRPr="00CF02F5">
              <w:rPr>
                <w:rFonts w:asciiTheme="majorHAnsi" w:eastAsia="Times New Roman" w:hAnsiTheme="majorHAnsi" w:cs="Arial"/>
                <w:sz w:val="24"/>
                <w:szCs w:val="24"/>
                <w:lang w:eastAsia="en-GB"/>
              </w:rPr>
              <w:t>31%</w:t>
            </w:r>
            <w:r w:rsidR="00D6153D">
              <w:rPr>
                <w:rFonts w:asciiTheme="majorHAnsi" w:eastAsia="Times New Roman" w:hAnsiTheme="majorHAnsi" w:cs="Arial"/>
                <w:sz w:val="24"/>
                <w:szCs w:val="24"/>
                <w:lang w:eastAsia="en-GB"/>
              </w:rPr>
              <w:t>.</w:t>
            </w:r>
          </w:p>
        </w:tc>
      </w:tr>
      <w:tr w:rsidR="00712AE7" w:rsidRPr="00280883" w:rsidTr="001B78DD">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w:t>
            </w:r>
          </w:p>
        </w:tc>
        <w:tc>
          <w:tcPr>
            <w:tcW w:w="2409" w:type="dxa"/>
            <w:tcBorders>
              <w:top w:val="single" w:sz="4" w:space="0" w:color="auto"/>
              <w:left w:val="nil"/>
              <w:bottom w:val="nil"/>
              <w:right w:val="single" w:sz="4" w:space="0" w:color="auto"/>
            </w:tcBorders>
            <w:shd w:val="clear" w:color="000000" w:fill="FFFFFF"/>
            <w:vAlign w:val="center"/>
            <w:hideMark/>
          </w:tcPr>
          <w:p w:rsidR="00712AE7" w:rsidRPr="00280883" w:rsidRDefault="00712AE7" w:rsidP="00BD3DD0">
            <w:pPr>
              <w:spacing w:after="0" w:line="240" w:lineRule="auto"/>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Disciplinary BME %</w:t>
            </w:r>
          </w:p>
        </w:tc>
        <w:tc>
          <w:tcPr>
            <w:tcW w:w="1242" w:type="dxa"/>
            <w:tcBorders>
              <w:top w:val="nil"/>
              <w:left w:val="nil"/>
              <w:bottom w:val="single" w:sz="4" w:space="0" w:color="auto"/>
              <w:right w:val="single" w:sz="4" w:space="0" w:color="auto"/>
            </w:tcBorders>
            <w:shd w:val="clear" w:color="000000" w:fill="FFFFFF"/>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27</w:t>
            </w:r>
            <w:r w:rsidR="00712AE7" w:rsidRPr="00280883">
              <w:rPr>
                <w:rFonts w:asciiTheme="majorHAnsi" w:eastAsia="Times New Roman" w:hAnsiTheme="majorHAnsi" w:cs="Arial"/>
                <w:sz w:val="24"/>
                <w:szCs w:val="24"/>
                <w:lang w:eastAsia="en-GB"/>
              </w:rPr>
              <w:t>%</w:t>
            </w:r>
          </w:p>
        </w:tc>
        <w:tc>
          <w:tcPr>
            <w:tcW w:w="1134" w:type="dxa"/>
            <w:tcBorders>
              <w:top w:val="single" w:sz="4" w:space="0" w:color="auto"/>
              <w:left w:val="nil"/>
              <w:bottom w:val="single" w:sz="4" w:space="0" w:color="auto"/>
              <w:right w:val="single" w:sz="4" w:space="0" w:color="auto"/>
            </w:tcBorders>
            <w:shd w:val="clear" w:color="auto" w:fill="FF0000"/>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33</w:t>
            </w:r>
            <w:r w:rsidR="00712AE7" w:rsidRPr="00280883">
              <w:rPr>
                <w:rFonts w:asciiTheme="majorHAnsi" w:eastAsia="Times New Roman" w:hAnsiTheme="majorHAnsi" w:cs="Arial"/>
                <w:sz w:val="24"/>
                <w:szCs w:val="24"/>
                <w:lang w:eastAsia="en-GB"/>
              </w:rPr>
              <w:t>%</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12AE7" w:rsidRPr="00280883" w:rsidRDefault="001B78DD" w:rsidP="001B78DD">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689472" behindDoc="0" locked="0" layoutInCell="1" allowOverlap="1" wp14:anchorId="3C6CFF8A" wp14:editId="3C943397">
                  <wp:simplePos x="0" y="0"/>
                  <wp:positionH relativeFrom="column">
                    <wp:posOffset>211455</wp:posOffset>
                  </wp:positionH>
                  <wp:positionV relativeFrom="paragraph">
                    <wp:posOffset>-16510</wp:posOffset>
                  </wp:positionV>
                  <wp:extent cx="133350" cy="171450"/>
                  <wp:effectExtent l="0" t="0" r="0" b="0"/>
                  <wp:wrapNone/>
                  <wp:docPr id="68"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single" w:sz="4" w:space="0" w:color="auto"/>
              <w:left w:val="nil"/>
              <w:bottom w:val="nil"/>
              <w:right w:val="single" w:sz="8" w:space="0" w:color="auto"/>
            </w:tcBorders>
            <w:shd w:val="clear" w:color="000000" w:fill="FFFFFF"/>
            <w:vAlign w:val="center"/>
            <w:hideMark/>
          </w:tcPr>
          <w:p w:rsidR="00712AE7" w:rsidRPr="00CF02F5" w:rsidRDefault="00A43F91" w:rsidP="00D6153D">
            <w:pPr>
              <w:spacing w:after="0" w:line="240" w:lineRule="auto"/>
              <w:rPr>
                <w:rFonts w:asciiTheme="majorHAnsi" w:eastAsia="Times New Roman" w:hAnsiTheme="majorHAnsi" w:cs="Arial"/>
                <w:sz w:val="24"/>
                <w:szCs w:val="24"/>
                <w:lang w:eastAsia="en-GB"/>
              </w:rPr>
            </w:pPr>
            <w:r w:rsidRPr="00CF02F5">
              <w:rPr>
                <w:rFonts w:asciiTheme="majorHAnsi" w:eastAsia="Times New Roman" w:hAnsiTheme="majorHAnsi" w:cs="Arial"/>
                <w:sz w:val="24"/>
                <w:szCs w:val="24"/>
                <w:lang w:eastAsia="en-GB"/>
              </w:rPr>
              <w:t xml:space="preserve">The percentage of grievance </w:t>
            </w:r>
            <w:r w:rsidR="00712AE7" w:rsidRPr="00CF02F5">
              <w:rPr>
                <w:rFonts w:asciiTheme="majorHAnsi" w:eastAsia="Times New Roman" w:hAnsiTheme="majorHAnsi" w:cs="Arial"/>
                <w:sz w:val="24"/>
                <w:szCs w:val="24"/>
                <w:lang w:eastAsia="en-GB"/>
              </w:rPr>
              <w:t>cases from BME staff in the reporting period</w:t>
            </w:r>
            <w:r w:rsidRPr="00CF02F5">
              <w:rPr>
                <w:rFonts w:asciiTheme="majorHAnsi" w:eastAsia="Times New Roman" w:hAnsiTheme="majorHAnsi" w:cs="Arial"/>
                <w:sz w:val="24"/>
                <w:szCs w:val="24"/>
                <w:lang w:eastAsia="en-GB"/>
              </w:rPr>
              <w:t xml:space="preserve"> </w:t>
            </w:r>
            <w:r w:rsidR="00D6153D">
              <w:rPr>
                <w:rFonts w:asciiTheme="majorHAnsi" w:eastAsia="Times New Roman" w:hAnsiTheme="majorHAnsi" w:cs="Arial"/>
                <w:sz w:val="24"/>
                <w:szCs w:val="24"/>
                <w:lang w:eastAsia="en-GB"/>
              </w:rPr>
              <w:t xml:space="preserve">increased to 33%, an increase from </w:t>
            </w:r>
            <w:r w:rsidRPr="00CF02F5">
              <w:rPr>
                <w:rFonts w:asciiTheme="majorHAnsi" w:eastAsia="Times New Roman" w:hAnsiTheme="majorHAnsi" w:cs="Arial"/>
                <w:sz w:val="24"/>
                <w:szCs w:val="24"/>
                <w:lang w:eastAsia="en-GB"/>
              </w:rPr>
              <w:t xml:space="preserve">21% </w:t>
            </w:r>
            <w:r w:rsidR="00D6153D">
              <w:rPr>
                <w:rFonts w:asciiTheme="majorHAnsi" w:eastAsia="Times New Roman" w:hAnsiTheme="majorHAnsi" w:cs="Arial"/>
                <w:sz w:val="24"/>
                <w:szCs w:val="24"/>
                <w:lang w:eastAsia="en-GB"/>
              </w:rPr>
              <w:t xml:space="preserve">last year and nearer to 2014 levels of </w:t>
            </w:r>
            <w:r w:rsidR="00FA0A2E" w:rsidRPr="00CF02F5">
              <w:rPr>
                <w:rFonts w:asciiTheme="majorHAnsi" w:eastAsia="Times New Roman" w:hAnsiTheme="majorHAnsi" w:cs="Arial"/>
                <w:sz w:val="24"/>
                <w:szCs w:val="24"/>
                <w:lang w:eastAsia="en-GB"/>
              </w:rPr>
              <w:t>29%</w:t>
            </w:r>
            <w:r w:rsidR="00D6153D">
              <w:rPr>
                <w:rFonts w:asciiTheme="majorHAnsi" w:eastAsia="Times New Roman" w:hAnsiTheme="majorHAnsi" w:cs="Arial"/>
                <w:sz w:val="24"/>
                <w:szCs w:val="24"/>
                <w:lang w:eastAsia="en-GB"/>
              </w:rPr>
              <w:t>.</w:t>
            </w:r>
          </w:p>
        </w:tc>
      </w:tr>
      <w:tr w:rsidR="00712AE7" w:rsidRPr="00280883" w:rsidTr="001B78DD">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xml:space="preserve"> </w:t>
            </w:r>
          </w:p>
        </w:tc>
        <w:tc>
          <w:tcPr>
            <w:tcW w:w="2409" w:type="dxa"/>
            <w:tcBorders>
              <w:top w:val="single" w:sz="4" w:space="0" w:color="auto"/>
              <w:left w:val="nil"/>
              <w:bottom w:val="nil"/>
              <w:right w:val="single" w:sz="4" w:space="0" w:color="auto"/>
            </w:tcBorders>
            <w:shd w:val="clear" w:color="000000" w:fill="FFFFFF"/>
            <w:vAlign w:val="center"/>
            <w:hideMark/>
          </w:tcPr>
          <w:p w:rsidR="00712AE7" w:rsidRPr="00280883" w:rsidRDefault="00712AE7" w:rsidP="00280883">
            <w:pPr>
              <w:spacing w:after="0" w:line="240" w:lineRule="auto"/>
              <w:ind w:firstLineChars="12" w:firstLine="29"/>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Assessment (Doctors awards) BME %</w:t>
            </w:r>
          </w:p>
        </w:tc>
        <w:tc>
          <w:tcPr>
            <w:tcW w:w="1242" w:type="dxa"/>
            <w:tcBorders>
              <w:top w:val="nil"/>
              <w:left w:val="nil"/>
              <w:bottom w:val="nil"/>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45%</w:t>
            </w:r>
          </w:p>
        </w:tc>
        <w:tc>
          <w:tcPr>
            <w:tcW w:w="1134" w:type="dxa"/>
            <w:tcBorders>
              <w:top w:val="single" w:sz="4" w:space="0" w:color="auto"/>
              <w:left w:val="nil"/>
              <w:bottom w:val="single" w:sz="8" w:space="0" w:color="auto"/>
              <w:right w:val="single" w:sz="4" w:space="0" w:color="auto"/>
            </w:tcBorders>
            <w:shd w:val="clear" w:color="000000" w:fill="00B050"/>
            <w:noWrap/>
            <w:vAlign w:val="center"/>
            <w:hideMark/>
          </w:tcPr>
          <w:p w:rsidR="00712AE7" w:rsidRPr="00280883" w:rsidRDefault="001E579F"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56</w:t>
            </w:r>
            <w:r w:rsidR="00712AE7" w:rsidRPr="00280883">
              <w:rPr>
                <w:rFonts w:asciiTheme="majorHAnsi" w:eastAsia="Times New Roman" w:hAnsiTheme="majorHAnsi" w:cs="Arial"/>
                <w:sz w:val="24"/>
                <w:szCs w:val="24"/>
                <w:lang w:eastAsia="en-GB"/>
              </w:rPr>
              <w:t>%</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12AE7" w:rsidRPr="00280883" w:rsidRDefault="001B78DD" w:rsidP="001B78DD">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687424" behindDoc="0" locked="0" layoutInCell="1" allowOverlap="1" wp14:anchorId="4D1E514B" wp14:editId="1F217F71">
                  <wp:simplePos x="0" y="0"/>
                  <wp:positionH relativeFrom="column">
                    <wp:posOffset>168910</wp:posOffset>
                  </wp:positionH>
                  <wp:positionV relativeFrom="paragraph">
                    <wp:posOffset>-3810</wp:posOffset>
                  </wp:positionV>
                  <wp:extent cx="209550" cy="123825"/>
                  <wp:effectExtent l="0" t="0" r="0" b="9525"/>
                  <wp:wrapNone/>
                  <wp:docPr id="6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single" w:sz="4" w:space="0" w:color="auto"/>
              <w:left w:val="nil"/>
              <w:bottom w:val="nil"/>
              <w:right w:val="single" w:sz="8" w:space="0" w:color="auto"/>
            </w:tcBorders>
            <w:shd w:val="clear" w:color="000000" w:fill="FFFFFF"/>
            <w:vAlign w:val="center"/>
            <w:hideMark/>
          </w:tcPr>
          <w:p w:rsidR="00712AE7" w:rsidRPr="00CF02F5" w:rsidRDefault="00712AE7" w:rsidP="00BD3DD0">
            <w:pPr>
              <w:spacing w:after="0" w:line="240" w:lineRule="auto"/>
              <w:rPr>
                <w:rFonts w:asciiTheme="majorHAnsi" w:eastAsia="Times New Roman" w:hAnsiTheme="majorHAnsi" w:cs="Arial"/>
                <w:sz w:val="24"/>
                <w:szCs w:val="24"/>
                <w:lang w:eastAsia="en-GB"/>
              </w:rPr>
            </w:pPr>
            <w:r w:rsidRPr="00CF02F5">
              <w:rPr>
                <w:rFonts w:asciiTheme="majorHAnsi" w:eastAsia="Times New Roman" w:hAnsiTheme="majorHAnsi" w:cs="Arial"/>
                <w:sz w:val="24"/>
                <w:szCs w:val="24"/>
                <w:lang w:eastAsia="en-GB"/>
              </w:rPr>
              <w:t>The proportion of awards to doctors from BME groups remains higher than the comparative numbers in post and has increased slightly from last year.</w:t>
            </w:r>
          </w:p>
        </w:tc>
      </w:tr>
      <w:tr w:rsidR="00712AE7" w:rsidRPr="00280883" w:rsidTr="00280883">
        <w:trPr>
          <w:trHeight w:val="540"/>
        </w:trPr>
        <w:tc>
          <w:tcPr>
            <w:tcW w:w="1702" w:type="dxa"/>
            <w:tcBorders>
              <w:top w:val="single" w:sz="8" w:space="0" w:color="auto"/>
              <w:left w:val="single" w:sz="8" w:space="0" w:color="auto"/>
              <w:bottom w:val="nil"/>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b/>
                <w:bCs/>
                <w:sz w:val="24"/>
                <w:szCs w:val="24"/>
                <w:lang w:eastAsia="en-GB"/>
              </w:rPr>
            </w:pPr>
            <w:r w:rsidRPr="00280883">
              <w:rPr>
                <w:rFonts w:asciiTheme="majorHAnsi" w:eastAsia="Times New Roman" w:hAnsiTheme="majorHAnsi" w:cs="Arial"/>
                <w:b/>
                <w:bCs/>
                <w:sz w:val="24"/>
                <w:szCs w:val="24"/>
                <w:lang w:eastAsia="en-GB"/>
              </w:rPr>
              <w:t>GENDER</w:t>
            </w:r>
          </w:p>
        </w:tc>
        <w:tc>
          <w:tcPr>
            <w:tcW w:w="2409" w:type="dxa"/>
            <w:tcBorders>
              <w:top w:val="single" w:sz="8" w:space="0" w:color="auto"/>
              <w:left w:val="nil"/>
              <w:bottom w:val="single" w:sz="4" w:space="0" w:color="auto"/>
              <w:right w:val="single" w:sz="4" w:space="0" w:color="auto"/>
            </w:tcBorders>
            <w:shd w:val="clear" w:color="000000" w:fill="FFFFFF"/>
            <w:vAlign w:val="center"/>
            <w:hideMark/>
          </w:tcPr>
          <w:p w:rsidR="00712AE7" w:rsidRPr="00280883" w:rsidRDefault="00712AE7" w:rsidP="00280883">
            <w:pPr>
              <w:spacing w:after="0" w:line="240" w:lineRule="auto"/>
              <w:ind w:firstLineChars="12" w:firstLine="29"/>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Employees Female %</w:t>
            </w:r>
          </w:p>
        </w:tc>
        <w:tc>
          <w:tcPr>
            <w:tcW w:w="1242" w:type="dxa"/>
            <w:tcBorders>
              <w:top w:val="single" w:sz="8" w:space="0" w:color="auto"/>
              <w:left w:val="nil"/>
              <w:bottom w:val="single" w:sz="4"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w:t>
            </w:r>
          </w:p>
        </w:tc>
        <w:tc>
          <w:tcPr>
            <w:tcW w:w="1134" w:type="dxa"/>
            <w:tcBorders>
              <w:top w:val="single" w:sz="8" w:space="0" w:color="auto"/>
              <w:left w:val="nil"/>
              <w:bottom w:val="single" w:sz="4" w:space="0" w:color="auto"/>
              <w:right w:val="single" w:sz="4" w:space="0" w:color="auto"/>
            </w:tcBorders>
            <w:shd w:val="clear" w:color="000000" w:fill="00B050"/>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80%</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712AE7" w:rsidRPr="00280883" w:rsidRDefault="00CF3E1B"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653632" behindDoc="0" locked="0" layoutInCell="1" allowOverlap="1" wp14:anchorId="71ABF6BB" wp14:editId="6D2568B4">
                  <wp:simplePos x="0" y="0"/>
                  <wp:positionH relativeFrom="column">
                    <wp:posOffset>194310</wp:posOffset>
                  </wp:positionH>
                  <wp:positionV relativeFrom="paragraph">
                    <wp:posOffset>78740</wp:posOffset>
                  </wp:positionV>
                  <wp:extent cx="209550" cy="123825"/>
                  <wp:effectExtent l="0" t="0" r="0" b="9525"/>
                  <wp:wrapNone/>
                  <wp:docPr id="3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single" w:sz="8" w:space="0" w:color="auto"/>
              <w:left w:val="nil"/>
              <w:bottom w:val="single" w:sz="4" w:space="0" w:color="auto"/>
              <w:right w:val="single" w:sz="8" w:space="0" w:color="auto"/>
            </w:tcBorders>
            <w:shd w:val="clear" w:color="000000" w:fill="FFFFFF"/>
            <w:vAlign w:val="center"/>
            <w:hideMark/>
          </w:tcPr>
          <w:p w:rsidR="00712AE7" w:rsidRPr="00CF02F5" w:rsidRDefault="00712AE7" w:rsidP="00D6153D">
            <w:pPr>
              <w:spacing w:after="0" w:line="240" w:lineRule="auto"/>
              <w:rPr>
                <w:rFonts w:asciiTheme="majorHAnsi" w:eastAsia="Times New Roman" w:hAnsiTheme="majorHAnsi" w:cs="Arial"/>
                <w:sz w:val="24"/>
                <w:szCs w:val="24"/>
                <w:lang w:eastAsia="en-GB"/>
              </w:rPr>
            </w:pPr>
            <w:r w:rsidRPr="00CF02F5">
              <w:rPr>
                <w:rFonts w:asciiTheme="majorHAnsi" w:eastAsia="Times New Roman" w:hAnsiTheme="majorHAnsi" w:cs="Arial"/>
                <w:sz w:val="24"/>
                <w:szCs w:val="24"/>
                <w:lang w:eastAsia="en-GB"/>
              </w:rPr>
              <w:t>The proportion of female staff in post remains at 80%. At band 8</w:t>
            </w:r>
            <w:r w:rsidR="001E579F" w:rsidRPr="00CF02F5">
              <w:rPr>
                <w:rFonts w:asciiTheme="majorHAnsi" w:eastAsia="Times New Roman" w:hAnsiTheme="majorHAnsi" w:cs="Arial"/>
                <w:sz w:val="24"/>
                <w:szCs w:val="24"/>
                <w:lang w:eastAsia="en-GB"/>
              </w:rPr>
              <w:t>a</w:t>
            </w:r>
            <w:r w:rsidRPr="00CF02F5">
              <w:rPr>
                <w:rFonts w:asciiTheme="majorHAnsi" w:eastAsia="Times New Roman" w:hAnsiTheme="majorHAnsi" w:cs="Arial"/>
                <w:sz w:val="24"/>
                <w:szCs w:val="24"/>
                <w:lang w:eastAsia="en-GB"/>
              </w:rPr>
              <w:t>-</w:t>
            </w:r>
            <w:r w:rsidR="00B23A3A" w:rsidRPr="00CF02F5">
              <w:rPr>
                <w:rFonts w:asciiTheme="majorHAnsi" w:eastAsia="Times New Roman" w:hAnsiTheme="majorHAnsi" w:cs="Arial"/>
                <w:sz w:val="24"/>
                <w:szCs w:val="24"/>
                <w:lang w:eastAsia="en-GB"/>
              </w:rPr>
              <w:t>9 the</w:t>
            </w:r>
            <w:r w:rsidRPr="00CF02F5">
              <w:rPr>
                <w:rFonts w:asciiTheme="majorHAnsi" w:eastAsia="Times New Roman" w:hAnsiTheme="majorHAnsi" w:cs="Arial"/>
                <w:sz w:val="24"/>
                <w:szCs w:val="24"/>
                <w:lang w:eastAsia="en-GB"/>
              </w:rPr>
              <w:t xml:space="preserve"> proportion of female staff in post </w:t>
            </w:r>
            <w:r w:rsidR="00D6153D">
              <w:rPr>
                <w:rFonts w:asciiTheme="majorHAnsi" w:eastAsia="Times New Roman" w:hAnsiTheme="majorHAnsi" w:cs="Arial"/>
                <w:sz w:val="24"/>
                <w:szCs w:val="24"/>
                <w:lang w:eastAsia="en-GB"/>
              </w:rPr>
              <w:t>has increased to 75</w:t>
            </w:r>
            <w:r w:rsidRPr="00CF02F5">
              <w:rPr>
                <w:rFonts w:asciiTheme="majorHAnsi" w:eastAsia="Times New Roman" w:hAnsiTheme="majorHAnsi" w:cs="Arial"/>
                <w:sz w:val="24"/>
                <w:szCs w:val="24"/>
                <w:lang w:eastAsia="en-GB"/>
              </w:rPr>
              <w:t>%.</w:t>
            </w:r>
          </w:p>
        </w:tc>
      </w:tr>
      <w:tr w:rsidR="00712AE7" w:rsidRPr="00280883" w:rsidTr="00280883">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xml:space="preserve"> </w:t>
            </w:r>
          </w:p>
        </w:tc>
        <w:tc>
          <w:tcPr>
            <w:tcW w:w="2409" w:type="dxa"/>
            <w:tcBorders>
              <w:top w:val="nil"/>
              <w:left w:val="nil"/>
              <w:bottom w:val="single" w:sz="4" w:space="0" w:color="auto"/>
              <w:right w:val="single" w:sz="4" w:space="0" w:color="auto"/>
            </w:tcBorders>
            <w:shd w:val="clear" w:color="000000" w:fill="FFFFFF"/>
            <w:vAlign w:val="center"/>
            <w:hideMark/>
          </w:tcPr>
          <w:p w:rsidR="00712AE7" w:rsidRPr="00280883" w:rsidRDefault="00712AE7" w:rsidP="00280883">
            <w:pPr>
              <w:spacing w:after="0" w:line="240" w:lineRule="auto"/>
              <w:ind w:firstLineChars="12" w:firstLine="29"/>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Consultants Female %</w:t>
            </w:r>
          </w:p>
        </w:tc>
        <w:tc>
          <w:tcPr>
            <w:tcW w:w="1242" w:type="dxa"/>
            <w:tcBorders>
              <w:top w:val="nil"/>
              <w:left w:val="nil"/>
              <w:bottom w:val="single" w:sz="4"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xml:space="preserve"> </w:t>
            </w:r>
          </w:p>
        </w:tc>
        <w:tc>
          <w:tcPr>
            <w:tcW w:w="1134" w:type="dxa"/>
            <w:tcBorders>
              <w:top w:val="single" w:sz="4" w:space="0" w:color="auto"/>
              <w:left w:val="nil"/>
              <w:bottom w:val="single" w:sz="4" w:space="0" w:color="auto"/>
              <w:right w:val="single" w:sz="4" w:space="0" w:color="auto"/>
            </w:tcBorders>
            <w:shd w:val="clear" w:color="000000" w:fill="00B050"/>
            <w:noWrap/>
            <w:vAlign w:val="center"/>
            <w:hideMark/>
          </w:tcPr>
          <w:p w:rsidR="00712AE7" w:rsidRPr="00280883" w:rsidRDefault="001E579F"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30</w:t>
            </w:r>
            <w:r w:rsidR="00712AE7" w:rsidRPr="00280883">
              <w:rPr>
                <w:rFonts w:asciiTheme="majorHAnsi" w:eastAsia="Times New Roman" w:hAnsiTheme="majorHAnsi" w:cs="Arial"/>
                <w:sz w:val="24"/>
                <w:szCs w:val="24"/>
                <w:lang w:eastAsia="en-GB"/>
              </w:rPr>
              <w:t>%</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691520" behindDoc="0" locked="0" layoutInCell="1" allowOverlap="1" wp14:anchorId="14C81DC7" wp14:editId="5C2B19EE">
                  <wp:simplePos x="0" y="0"/>
                  <wp:positionH relativeFrom="column">
                    <wp:posOffset>186690</wp:posOffset>
                  </wp:positionH>
                  <wp:positionV relativeFrom="paragraph">
                    <wp:posOffset>-73660</wp:posOffset>
                  </wp:positionV>
                  <wp:extent cx="209550" cy="123825"/>
                  <wp:effectExtent l="0" t="0" r="0" b="9525"/>
                  <wp:wrapNone/>
                  <wp:docPr id="6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nil"/>
              <w:left w:val="nil"/>
              <w:bottom w:val="single" w:sz="4" w:space="0" w:color="auto"/>
              <w:right w:val="single" w:sz="8" w:space="0" w:color="auto"/>
            </w:tcBorders>
            <w:shd w:val="clear" w:color="000000" w:fill="FFFFFF"/>
            <w:vAlign w:val="center"/>
            <w:hideMark/>
          </w:tcPr>
          <w:p w:rsidR="00712AE7" w:rsidRPr="00CF02F5" w:rsidRDefault="00712AE7" w:rsidP="00D6153D">
            <w:pPr>
              <w:spacing w:after="0" w:line="240" w:lineRule="auto"/>
              <w:rPr>
                <w:rFonts w:asciiTheme="majorHAnsi" w:eastAsia="Times New Roman" w:hAnsiTheme="majorHAnsi" w:cs="Arial"/>
                <w:sz w:val="24"/>
                <w:szCs w:val="24"/>
                <w:lang w:eastAsia="en-GB"/>
              </w:rPr>
            </w:pPr>
            <w:r w:rsidRPr="00CF02F5">
              <w:rPr>
                <w:rFonts w:asciiTheme="majorHAnsi" w:eastAsia="Times New Roman" w:hAnsiTheme="majorHAnsi" w:cs="Arial"/>
                <w:sz w:val="24"/>
                <w:szCs w:val="24"/>
                <w:lang w:eastAsia="en-GB"/>
              </w:rPr>
              <w:t xml:space="preserve">The proportion of female consultants has </w:t>
            </w:r>
            <w:r w:rsidR="00D6153D">
              <w:rPr>
                <w:rFonts w:asciiTheme="majorHAnsi" w:eastAsia="Times New Roman" w:hAnsiTheme="majorHAnsi" w:cs="Arial"/>
                <w:sz w:val="24"/>
                <w:szCs w:val="24"/>
                <w:lang w:eastAsia="en-GB"/>
              </w:rPr>
              <w:t>remained the same.</w:t>
            </w:r>
          </w:p>
        </w:tc>
      </w:tr>
      <w:tr w:rsidR="00712AE7" w:rsidRPr="00280883" w:rsidTr="00280883">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xml:space="preserve"> </w:t>
            </w:r>
          </w:p>
        </w:tc>
        <w:tc>
          <w:tcPr>
            <w:tcW w:w="2409" w:type="dxa"/>
            <w:tcBorders>
              <w:top w:val="nil"/>
              <w:left w:val="nil"/>
              <w:bottom w:val="single" w:sz="4" w:space="0" w:color="auto"/>
              <w:right w:val="single" w:sz="4" w:space="0" w:color="auto"/>
            </w:tcBorders>
            <w:shd w:val="clear" w:color="000000" w:fill="FFFFFF"/>
            <w:vAlign w:val="center"/>
            <w:hideMark/>
          </w:tcPr>
          <w:p w:rsidR="00712AE7" w:rsidRPr="00280883" w:rsidRDefault="00712AE7" w:rsidP="001B78DD">
            <w:pPr>
              <w:spacing w:after="0" w:line="240" w:lineRule="auto"/>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xml:space="preserve">Last </w:t>
            </w:r>
            <w:r w:rsidR="001B78DD">
              <w:rPr>
                <w:rFonts w:asciiTheme="majorHAnsi" w:eastAsia="Times New Roman" w:hAnsiTheme="majorHAnsi" w:cs="Arial"/>
                <w:sz w:val="24"/>
                <w:szCs w:val="24"/>
                <w:lang w:eastAsia="en-GB"/>
              </w:rPr>
              <w:t>12</w:t>
            </w:r>
            <w:r w:rsidRPr="00280883">
              <w:rPr>
                <w:rFonts w:asciiTheme="majorHAnsi" w:eastAsia="Times New Roman" w:hAnsiTheme="majorHAnsi" w:cs="Arial"/>
                <w:sz w:val="24"/>
                <w:szCs w:val="24"/>
                <w:lang w:eastAsia="en-GB"/>
              </w:rPr>
              <w:t xml:space="preserve"> mths Appointments female %</w:t>
            </w:r>
          </w:p>
        </w:tc>
        <w:tc>
          <w:tcPr>
            <w:tcW w:w="1242" w:type="dxa"/>
            <w:tcBorders>
              <w:top w:val="nil"/>
              <w:left w:val="nil"/>
              <w:bottom w:val="single" w:sz="4"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w:t>
            </w:r>
          </w:p>
        </w:tc>
        <w:tc>
          <w:tcPr>
            <w:tcW w:w="1134" w:type="dxa"/>
            <w:tcBorders>
              <w:top w:val="single" w:sz="4" w:space="0" w:color="auto"/>
              <w:left w:val="nil"/>
              <w:bottom w:val="single" w:sz="4" w:space="0" w:color="auto"/>
              <w:right w:val="single" w:sz="4" w:space="0" w:color="auto"/>
            </w:tcBorders>
            <w:shd w:val="clear" w:color="000000" w:fill="00B050"/>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80</w:t>
            </w:r>
            <w:r w:rsidR="00712AE7" w:rsidRPr="00280883">
              <w:rPr>
                <w:rFonts w:asciiTheme="majorHAnsi" w:eastAsia="Times New Roman" w:hAnsiTheme="majorHAnsi" w:cs="Arial"/>
                <w:sz w:val="24"/>
                <w:szCs w:val="24"/>
                <w:lang w:eastAsia="en-GB"/>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693568" behindDoc="0" locked="0" layoutInCell="1" allowOverlap="1" wp14:anchorId="66D8FB50" wp14:editId="2D2E23B9">
                  <wp:simplePos x="0" y="0"/>
                  <wp:positionH relativeFrom="column">
                    <wp:posOffset>232410</wp:posOffset>
                  </wp:positionH>
                  <wp:positionV relativeFrom="paragraph">
                    <wp:posOffset>-103505</wp:posOffset>
                  </wp:positionV>
                  <wp:extent cx="133350" cy="171450"/>
                  <wp:effectExtent l="0" t="0" r="0" b="0"/>
                  <wp:wrapNone/>
                  <wp:docPr id="70"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nil"/>
              <w:left w:val="nil"/>
              <w:bottom w:val="single" w:sz="4" w:space="0" w:color="auto"/>
              <w:right w:val="single" w:sz="8" w:space="0" w:color="auto"/>
            </w:tcBorders>
            <w:shd w:val="clear" w:color="000000" w:fill="FFFFFF"/>
            <w:vAlign w:val="center"/>
            <w:hideMark/>
          </w:tcPr>
          <w:p w:rsidR="00712AE7" w:rsidRPr="00CF02F5" w:rsidRDefault="00712AE7" w:rsidP="00280883">
            <w:pPr>
              <w:spacing w:after="0" w:line="240" w:lineRule="auto"/>
              <w:ind w:firstLineChars="14" w:firstLine="34"/>
              <w:rPr>
                <w:rFonts w:asciiTheme="majorHAnsi" w:eastAsia="Times New Roman" w:hAnsiTheme="majorHAnsi" w:cs="Arial"/>
                <w:sz w:val="24"/>
                <w:szCs w:val="24"/>
                <w:lang w:eastAsia="en-GB"/>
              </w:rPr>
            </w:pPr>
            <w:r w:rsidRPr="00CF02F5">
              <w:rPr>
                <w:rFonts w:asciiTheme="majorHAnsi" w:eastAsia="Times New Roman" w:hAnsiTheme="majorHAnsi" w:cs="Arial"/>
                <w:sz w:val="24"/>
                <w:szCs w:val="24"/>
                <w:lang w:eastAsia="en-GB"/>
              </w:rPr>
              <w:t xml:space="preserve">Recent appointments </w:t>
            </w:r>
            <w:r w:rsidR="00536616" w:rsidRPr="00CF02F5">
              <w:rPr>
                <w:rFonts w:asciiTheme="majorHAnsi" w:eastAsia="Times New Roman" w:hAnsiTheme="majorHAnsi" w:cs="Arial"/>
                <w:sz w:val="24"/>
                <w:szCs w:val="24"/>
                <w:lang w:eastAsia="en-GB"/>
              </w:rPr>
              <w:t>continue to</w:t>
            </w:r>
            <w:r w:rsidRPr="00CF02F5">
              <w:rPr>
                <w:rFonts w:asciiTheme="majorHAnsi" w:eastAsia="Times New Roman" w:hAnsiTheme="majorHAnsi" w:cs="Arial"/>
                <w:sz w:val="24"/>
                <w:szCs w:val="24"/>
                <w:lang w:eastAsia="en-GB"/>
              </w:rPr>
              <w:t xml:space="preserve"> reflect the high proportion of females who join the organisation.</w:t>
            </w:r>
          </w:p>
        </w:tc>
      </w:tr>
      <w:tr w:rsidR="00712AE7" w:rsidRPr="00280883" w:rsidTr="00CF02F5">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xml:space="preserve"> </w:t>
            </w:r>
          </w:p>
        </w:tc>
        <w:tc>
          <w:tcPr>
            <w:tcW w:w="2409" w:type="dxa"/>
            <w:tcBorders>
              <w:top w:val="nil"/>
              <w:left w:val="nil"/>
              <w:bottom w:val="single" w:sz="4" w:space="0" w:color="auto"/>
              <w:right w:val="single" w:sz="4" w:space="0" w:color="auto"/>
            </w:tcBorders>
            <w:shd w:val="clear" w:color="000000" w:fill="FFFFFF"/>
            <w:vAlign w:val="center"/>
            <w:hideMark/>
          </w:tcPr>
          <w:p w:rsidR="00712AE7" w:rsidRPr="00280883" w:rsidRDefault="00962628" w:rsidP="00BD3DD0">
            <w:pPr>
              <w:spacing w:after="0" w:line="240" w:lineRule="auto"/>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L</w:t>
            </w:r>
            <w:r w:rsidR="00712AE7" w:rsidRPr="00280883">
              <w:rPr>
                <w:rFonts w:asciiTheme="majorHAnsi" w:eastAsia="Times New Roman" w:hAnsiTheme="majorHAnsi" w:cs="Arial"/>
                <w:sz w:val="24"/>
                <w:szCs w:val="24"/>
                <w:lang w:eastAsia="en-GB"/>
              </w:rPr>
              <w:t>ast 6 months Promotions female %</w:t>
            </w:r>
          </w:p>
        </w:tc>
        <w:tc>
          <w:tcPr>
            <w:tcW w:w="1242" w:type="dxa"/>
            <w:tcBorders>
              <w:top w:val="nil"/>
              <w:left w:val="nil"/>
              <w:bottom w:val="single" w:sz="4"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80%</w:t>
            </w:r>
          </w:p>
        </w:tc>
        <w:tc>
          <w:tcPr>
            <w:tcW w:w="1134" w:type="dxa"/>
            <w:tcBorders>
              <w:top w:val="single" w:sz="4" w:space="0" w:color="auto"/>
              <w:left w:val="single" w:sz="4" w:space="0" w:color="auto"/>
              <w:bottom w:val="single" w:sz="4" w:space="0" w:color="auto"/>
              <w:right w:val="single" w:sz="4" w:space="0" w:color="auto"/>
            </w:tcBorders>
            <w:shd w:val="clear" w:color="FFFFFF" w:fill="00B050"/>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79</w:t>
            </w:r>
            <w:r w:rsidR="00712AE7" w:rsidRPr="00280883">
              <w:rPr>
                <w:rFonts w:asciiTheme="majorHAnsi" w:eastAsia="Times New Roman" w:hAnsiTheme="majorHAnsi" w:cs="Arial"/>
                <w:sz w:val="24"/>
                <w:szCs w:val="24"/>
                <w:lang w:eastAsia="en-GB"/>
              </w:rPr>
              <w:t>%</w:t>
            </w:r>
          </w:p>
        </w:tc>
        <w:tc>
          <w:tcPr>
            <w:tcW w:w="1276" w:type="dxa"/>
            <w:tcBorders>
              <w:top w:val="nil"/>
              <w:left w:val="nil"/>
              <w:bottom w:val="nil"/>
              <w:right w:val="single" w:sz="4" w:space="0" w:color="auto"/>
            </w:tcBorders>
            <w:shd w:val="clear" w:color="000000" w:fill="FFFFFF"/>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695616" behindDoc="0" locked="0" layoutInCell="1" allowOverlap="1" wp14:anchorId="16FFF685" wp14:editId="74A0FAEB">
                  <wp:simplePos x="0" y="0"/>
                  <wp:positionH relativeFrom="column">
                    <wp:posOffset>229870</wp:posOffset>
                  </wp:positionH>
                  <wp:positionV relativeFrom="paragraph">
                    <wp:posOffset>-85090</wp:posOffset>
                  </wp:positionV>
                  <wp:extent cx="133350" cy="190500"/>
                  <wp:effectExtent l="0" t="0" r="0" b="0"/>
                  <wp:wrapNone/>
                  <wp:docPr id="7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nil"/>
              <w:left w:val="nil"/>
              <w:bottom w:val="single" w:sz="4" w:space="0" w:color="auto"/>
              <w:right w:val="single" w:sz="8" w:space="0" w:color="auto"/>
            </w:tcBorders>
            <w:shd w:val="clear" w:color="000000" w:fill="FFFFFF"/>
            <w:vAlign w:val="center"/>
            <w:hideMark/>
          </w:tcPr>
          <w:p w:rsidR="00712AE7" w:rsidRPr="00CF02F5" w:rsidRDefault="00712AE7" w:rsidP="007C5706">
            <w:pPr>
              <w:spacing w:after="0" w:line="240" w:lineRule="auto"/>
              <w:rPr>
                <w:rFonts w:asciiTheme="majorHAnsi" w:eastAsia="Times New Roman" w:hAnsiTheme="majorHAnsi" w:cs="Arial"/>
                <w:sz w:val="24"/>
                <w:szCs w:val="24"/>
                <w:lang w:eastAsia="en-GB"/>
              </w:rPr>
            </w:pPr>
            <w:r w:rsidRPr="00CF02F5">
              <w:rPr>
                <w:rFonts w:asciiTheme="majorHAnsi" w:eastAsia="Times New Roman" w:hAnsiTheme="majorHAnsi" w:cs="Arial"/>
                <w:sz w:val="24"/>
                <w:szCs w:val="24"/>
                <w:lang w:eastAsia="en-GB"/>
              </w:rPr>
              <w:t xml:space="preserve">Recent promotions for female staff are a slightly </w:t>
            </w:r>
            <w:r w:rsidR="007C5706">
              <w:rPr>
                <w:rFonts w:asciiTheme="majorHAnsi" w:eastAsia="Times New Roman" w:hAnsiTheme="majorHAnsi" w:cs="Arial"/>
                <w:sz w:val="24"/>
                <w:szCs w:val="24"/>
                <w:lang w:eastAsia="en-GB"/>
              </w:rPr>
              <w:t>lower</w:t>
            </w:r>
            <w:r w:rsidRPr="00CF02F5">
              <w:rPr>
                <w:rFonts w:asciiTheme="majorHAnsi" w:eastAsia="Times New Roman" w:hAnsiTheme="majorHAnsi" w:cs="Arial"/>
                <w:sz w:val="24"/>
                <w:szCs w:val="24"/>
                <w:lang w:eastAsia="en-GB"/>
              </w:rPr>
              <w:t xml:space="preserve"> than the proportions in post</w:t>
            </w:r>
            <w:r w:rsidR="007C5706">
              <w:rPr>
                <w:rFonts w:asciiTheme="majorHAnsi" w:eastAsia="Times New Roman" w:hAnsiTheme="majorHAnsi" w:cs="Arial"/>
                <w:sz w:val="24"/>
                <w:szCs w:val="24"/>
                <w:lang w:eastAsia="en-GB"/>
              </w:rPr>
              <w:t>.</w:t>
            </w:r>
          </w:p>
        </w:tc>
      </w:tr>
      <w:tr w:rsidR="00712AE7" w:rsidRPr="00280883" w:rsidTr="00CF02F5">
        <w:trPr>
          <w:trHeight w:val="540"/>
        </w:trPr>
        <w:tc>
          <w:tcPr>
            <w:tcW w:w="1702" w:type="dxa"/>
            <w:tcBorders>
              <w:top w:val="nil"/>
              <w:left w:val="single" w:sz="8" w:space="0" w:color="auto"/>
              <w:bottom w:val="single" w:sz="4"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xml:space="preserve"> </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712AE7" w:rsidRPr="00280883" w:rsidRDefault="00712AE7" w:rsidP="00BD3DD0">
            <w:pPr>
              <w:spacing w:after="0" w:line="240" w:lineRule="auto"/>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Leavers Female %</w:t>
            </w:r>
          </w:p>
        </w:tc>
        <w:tc>
          <w:tcPr>
            <w:tcW w:w="1242" w:type="dxa"/>
            <w:tcBorders>
              <w:top w:val="nil"/>
              <w:left w:val="nil"/>
              <w:bottom w:val="single" w:sz="4"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80%</w:t>
            </w:r>
          </w:p>
        </w:tc>
        <w:tc>
          <w:tcPr>
            <w:tcW w:w="1134" w:type="dxa"/>
            <w:tcBorders>
              <w:top w:val="single" w:sz="4" w:space="0" w:color="auto"/>
              <w:left w:val="nil"/>
              <w:bottom w:val="single" w:sz="4" w:space="0" w:color="auto"/>
              <w:right w:val="single" w:sz="4" w:space="0" w:color="auto"/>
            </w:tcBorders>
            <w:shd w:val="clear" w:color="000000" w:fill="00B050"/>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81</w:t>
            </w:r>
            <w:r w:rsidR="00712AE7" w:rsidRPr="00280883">
              <w:rPr>
                <w:rFonts w:asciiTheme="majorHAnsi" w:eastAsia="Times New Roman" w:hAnsiTheme="majorHAnsi" w:cs="Arial"/>
                <w:sz w:val="24"/>
                <w:szCs w:val="24"/>
                <w:lang w:eastAsia="en-GB"/>
              </w:rPr>
              <w:t>%</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697664" behindDoc="0" locked="0" layoutInCell="1" allowOverlap="1" wp14:anchorId="6D305263" wp14:editId="71D584D1">
                  <wp:simplePos x="0" y="0"/>
                  <wp:positionH relativeFrom="column">
                    <wp:posOffset>234315</wp:posOffset>
                  </wp:positionH>
                  <wp:positionV relativeFrom="paragraph">
                    <wp:posOffset>-43180</wp:posOffset>
                  </wp:positionV>
                  <wp:extent cx="133350" cy="171450"/>
                  <wp:effectExtent l="0" t="0" r="0" b="0"/>
                  <wp:wrapNone/>
                  <wp:docPr id="72"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single" w:sz="4" w:space="0" w:color="auto"/>
              <w:left w:val="nil"/>
              <w:bottom w:val="single" w:sz="4" w:space="0" w:color="auto"/>
              <w:right w:val="single" w:sz="4" w:space="0" w:color="auto"/>
            </w:tcBorders>
            <w:shd w:val="clear" w:color="000000" w:fill="FFFFFF"/>
            <w:vAlign w:val="center"/>
            <w:hideMark/>
          </w:tcPr>
          <w:p w:rsidR="00712AE7" w:rsidRPr="00CF02F5" w:rsidRDefault="00712AE7" w:rsidP="007C5706">
            <w:pPr>
              <w:spacing w:after="0" w:line="240" w:lineRule="auto"/>
              <w:rPr>
                <w:rFonts w:asciiTheme="majorHAnsi" w:eastAsia="Times New Roman" w:hAnsiTheme="majorHAnsi" w:cs="Arial"/>
                <w:sz w:val="24"/>
                <w:szCs w:val="24"/>
                <w:lang w:eastAsia="en-GB"/>
              </w:rPr>
            </w:pPr>
            <w:r w:rsidRPr="00CF02F5">
              <w:rPr>
                <w:rFonts w:asciiTheme="majorHAnsi" w:eastAsia="Times New Roman" w:hAnsiTheme="majorHAnsi" w:cs="Arial"/>
                <w:sz w:val="24"/>
                <w:szCs w:val="24"/>
                <w:lang w:eastAsia="en-GB"/>
              </w:rPr>
              <w:t xml:space="preserve">The proportion of female leavers </w:t>
            </w:r>
            <w:r w:rsidR="001E579F" w:rsidRPr="00CF02F5">
              <w:rPr>
                <w:rFonts w:asciiTheme="majorHAnsi" w:eastAsia="Times New Roman" w:hAnsiTheme="majorHAnsi" w:cs="Arial"/>
                <w:sz w:val="24"/>
                <w:szCs w:val="24"/>
                <w:lang w:eastAsia="en-GB"/>
              </w:rPr>
              <w:t xml:space="preserve">has </w:t>
            </w:r>
            <w:r w:rsidR="007C5706">
              <w:rPr>
                <w:rFonts w:asciiTheme="majorHAnsi" w:eastAsia="Times New Roman" w:hAnsiTheme="majorHAnsi" w:cs="Arial"/>
                <w:sz w:val="24"/>
                <w:szCs w:val="24"/>
                <w:lang w:eastAsia="en-GB"/>
              </w:rPr>
              <w:t xml:space="preserve">increased by 7% </w:t>
            </w:r>
            <w:r w:rsidR="001E579F" w:rsidRPr="00CF02F5">
              <w:rPr>
                <w:rFonts w:asciiTheme="majorHAnsi" w:eastAsia="Times New Roman" w:hAnsiTheme="majorHAnsi" w:cs="Arial"/>
                <w:sz w:val="24"/>
                <w:szCs w:val="24"/>
                <w:lang w:eastAsia="en-GB"/>
              </w:rPr>
              <w:t xml:space="preserve">and is now </w:t>
            </w:r>
            <w:r w:rsidR="007C5706">
              <w:rPr>
                <w:rFonts w:asciiTheme="majorHAnsi" w:eastAsia="Times New Roman" w:hAnsiTheme="majorHAnsi" w:cs="Arial"/>
                <w:sz w:val="24"/>
                <w:szCs w:val="24"/>
                <w:lang w:eastAsia="en-GB"/>
              </w:rPr>
              <w:t>slightly above the proportion in post (80%)</w:t>
            </w:r>
            <w:r w:rsidRPr="00CF02F5">
              <w:rPr>
                <w:rFonts w:asciiTheme="majorHAnsi" w:eastAsia="Times New Roman" w:hAnsiTheme="majorHAnsi" w:cs="Arial"/>
                <w:sz w:val="24"/>
                <w:szCs w:val="24"/>
                <w:lang w:eastAsia="en-GB"/>
              </w:rPr>
              <w:t xml:space="preserve">. </w:t>
            </w:r>
          </w:p>
        </w:tc>
      </w:tr>
      <w:tr w:rsidR="00712AE7" w:rsidRPr="00280883" w:rsidTr="001B78DD">
        <w:trPr>
          <w:trHeight w:val="540"/>
        </w:trPr>
        <w:tc>
          <w:tcPr>
            <w:tcW w:w="1702" w:type="dxa"/>
            <w:tcBorders>
              <w:top w:val="single" w:sz="4" w:space="0" w:color="auto"/>
              <w:left w:val="single" w:sz="4"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lastRenderedPageBreak/>
              <w:t> </w:t>
            </w:r>
          </w:p>
        </w:tc>
        <w:tc>
          <w:tcPr>
            <w:tcW w:w="2409" w:type="dxa"/>
            <w:tcBorders>
              <w:top w:val="single" w:sz="4" w:space="0" w:color="auto"/>
              <w:left w:val="single" w:sz="4" w:space="0" w:color="auto"/>
              <w:bottom w:val="nil"/>
              <w:right w:val="single" w:sz="4" w:space="0" w:color="auto"/>
            </w:tcBorders>
            <w:shd w:val="clear" w:color="000000" w:fill="FFFFFF"/>
            <w:vAlign w:val="center"/>
            <w:hideMark/>
          </w:tcPr>
          <w:p w:rsidR="00712AE7" w:rsidRPr="00280883" w:rsidRDefault="00712AE7" w:rsidP="00BD3DD0">
            <w:pPr>
              <w:spacing w:after="0" w:line="240" w:lineRule="auto"/>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Grievance Female %</w:t>
            </w:r>
          </w:p>
        </w:tc>
        <w:tc>
          <w:tcPr>
            <w:tcW w:w="1242" w:type="dxa"/>
            <w:tcBorders>
              <w:top w:val="nil"/>
              <w:left w:val="nil"/>
              <w:bottom w:val="single" w:sz="4"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80%</w:t>
            </w:r>
          </w:p>
        </w:tc>
        <w:tc>
          <w:tcPr>
            <w:tcW w:w="1134" w:type="dxa"/>
            <w:tcBorders>
              <w:top w:val="single" w:sz="4" w:space="0" w:color="auto"/>
              <w:left w:val="nil"/>
              <w:bottom w:val="single" w:sz="4" w:space="0" w:color="auto"/>
              <w:right w:val="single" w:sz="4" w:space="0" w:color="auto"/>
            </w:tcBorders>
            <w:shd w:val="clear" w:color="auto" w:fill="FFC000"/>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84</w:t>
            </w:r>
            <w:r w:rsidR="00712AE7" w:rsidRPr="00280883">
              <w:rPr>
                <w:rFonts w:asciiTheme="majorHAnsi" w:eastAsia="Times New Roman" w:hAnsiTheme="majorHAnsi" w:cs="Arial"/>
                <w:sz w:val="24"/>
                <w:szCs w:val="24"/>
                <w:lang w:eastAsia="en-GB"/>
              </w:rPr>
              <w:t>%</w:t>
            </w:r>
          </w:p>
        </w:tc>
        <w:tc>
          <w:tcPr>
            <w:tcW w:w="1276" w:type="dxa"/>
            <w:tcBorders>
              <w:top w:val="nil"/>
              <w:left w:val="nil"/>
              <w:bottom w:val="nil"/>
              <w:right w:val="single" w:sz="4" w:space="0" w:color="auto"/>
            </w:tcBorders>
            <w:shd w:val="clear" w:color="000000" w:fill="FFFFFF"/>
            <w:noWrap/>
            <w:vAlign w:val="center"/>
            <w:hideMark/>
          </w:tcPr>
          <w:p w:rsidR="00712AE7" w:rsidRPr="00280883" w:rsidRDefault="00280883"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679232" behindDoc="0" locked="0" layoutInCell="1" allowOverlap="1" wp14:anchorId="3015163D" wp14:editId="3402F901">
                  <wp:simplePos x="0" y="0"/>
                  <wp:positionH relativeFrom="column">
                    <wp:posOffset>245745</wp:posOffset>
                  </wp:positionH>
                  <wp:positionV relativeFrom="paragraph">
                    <wp:posOffset>-74295</wp:posOffset>
                  </wp:positionV>
                  <wp:extent cx="171450" cy="171450"/>
                  <wp:effectExtent l="0" t="0" r="0" b="0"/>
                  <wp:wrapNone/>
                  <wp:docPr id="23"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single" w:sz="4" w:space="0" w:color="auto"/>
              <w:left w:val="nil"/>
              <w:bottom w:val="nil"/>
              <w:right w:val="single" w:sz="8" w:space="0" w:color="auto"/>
            </w:tcBorders>
            <w:shd w:val="clear" w:color="000000" w:fill="FFFFFF"/>
            <w:vAlign w:val="center"/>
            <w:hideMark/>
          </w:tcPr>
          <w:p w:rsidR="00712AE7" w:rsidRPr="00CF02F5" w:rsidRDefault="00712AE7" w:rsidP="007C5706">
            <w:pPr>
              <w:spacing w:after="0" w:line="240" w:lineRule="auto"/>
              <w:rPr>
                <w:rFonts w:asciiTheme="majorHAnsi" w:eastAsia="Times New Roman" w:hAnsiTheme="majorHAnsi" w:cs="Arial"/>
                <w:sz w:val="24"/>
                <w:szCs w:val="24"/>
                <w:lang w:eastAsia="en-GB"/>
              </w:rPr>
            </w:pPr>
            <w:r w:rsidRPr="00CF02F5">
              <w:rPr>
                <w:rFonts w:asciiTheme="majorHAnsi" w:eastAsia="Times New Roman" w:hAnsiTheme="majorHAnsi" w:cs="Arial"/>
                <w:sz w:val="24"/>
                <w:szCs w:val="24"/>
                <w:lang w:eastAsia="en-GB"/>
              </w:rPr>
              <w:t xml:space="preserve">Grievances from female staff have </w:t>
            </w:r>
            <w:r w:rsidR="00280883" w:rsidRPr="00CF02F5">
              <w:rPr>
                <w:rFonts w:asciiTheme="majorHAnsi" w:eastAsia="Times New Roman" w:hAnsiTheme="majorHAnsi" w:cs="Arial"/>
                <w:sz w:val="24"/>
                <w:szCs w:val="24"/>
                <w:lang w:eastAsia="en-GB"/>
              </w:rPr>
              <w:t xml:space="preserve">increased from </w:t>
            </w:r>
            <w:r w:rsidR="007C5706">
              <w:rPr>
                <w:rFonts w:asciiTheme="majorHAnsi" w:eastAsia="Times New Roman" w:hAnsiTheme="majorHAnsi" w:cs="Arial"/>
                <w:sz w:val="24"/>
                <w:szCs w:val="24"/>
                <w:lang w:eastAsia="en-GB"/>
              </w:rPr>
              <w:t>75</w:t>
            </w:r>
            <w:r w:rsidR="00280883" w:rsidRPr="00CF02F5">
              <w:rPr>
                <w:rFonts w:asciiTheme="majorHAnsi" w:eastAsia="Times New Roman" w:hAnsiTheme="majorHAnsi" w:cs="Arial"/>
                <w:sz w:val="24"/>
                <w:szCs w:val="24"/>
                <w:lang w:eastAsia="en-GB"/>
              </w:rPr>
              <w:t xml:space="preserve">% last year </w:t>
            </w:r>
            <w:r w:rsidR="007C5706">
              <w:rPr>
                <w:rFonts w:asciiTheme="majorHAnsi" w:eastAsia="Times New Roman" w:hAnsiTheme="majorHAnsi" w:cs="Arial"/>
                <w:sz w:val="24"/>
                <w:szCs w:val="24"/>
                <w:lang w:eastAsia="en-GB"/>
              </w:rPr>
              <w:t>and are now slightly higher than the proportion in post.</w:t>
            </w:r>
          </w:p>
        </w:tc>
      </w:tr>
      <w:tr w:rsidR="00712AE7" w:rsidRPr="00280883" w:rsidTr="00CF02F5">
        <w:trPr>
          <w:trHeight w:val="540"/>
        </w:trPr>
        <w:tc>
          <w:tcPr>
            <w:tcW w:w="1702" w:type="dxa"/>
            <w:tcBorders>
              <w:left w:val="single" w:sz="8" w:space="0" w:color="auto"/>
              <w:bottom w:val="nil"/>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w:t>
            </w:r>
          </w:p>
        </w:tc>
        <w:tc>
          <w:tcPr>
            <w:tcW w:w="2409" w:type="dxa"/>
            <w:tcBorders>
              <w:top w:val="single" w:sz="4" w:space="0" w:color="auto"/>
              <w:left w:val="nil"/>
              <w:bottom w:val="nil"/>
              <w:right w:val="single" w:sz="4" w:space="0" w:color="auto"/>
            </w:tcBorders>
            <w:shd w:val="clear" w:color="000000" w:fill="FFFFFF"/>
            <w:vAlign w:val="center"/>
            <w:hideMark/>
          </w:tcPr>
          <w:p w:rsidR="00712AE7" w:rsidRPr="00280883" w:rsidRDefault="00712AE7" w:rsidP="00280883">
            <w:pPr>
              <w:spacing w:after="0" w:line="240" w:lineRule="auto"/>
              <w:ind w:firstLineChars="12" w:firstLine="29"/>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Disciplinary Female %</w:t>
            </w:r>
          </w:p>
        </w:tc>
        <w:tc>
          <w:tcPr>
            <w:tcW w:w="1242" w:type="dxa"/>
            <w:tcBorders>
              <w:top w:val="nil"/>
              <w:left w:val="nil"/>
              <w:bottom w:val="single" w:sz="4"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80%</w:t>
            </w:r>
          </w:p>
        </w:tc>
        <w:tc>
          <w:tcPr>
            <w:tcW w:w="1134" w:type="dxa"/>
            <w:tcBorders>
              <w:top w:val="single" w:sz="4" w:space="0" w:color="auto"/>
              <w:left w:val="nil"/>
              <w:bottom w:val="single" w:sz="4" w:space="0" w:color="auto"/>
              <w:right w:val="single" w:sz="4" w:space="0" w:color="auto"/>
            </w:tcBorders>
            <w:shd w:val="clear" w:color="000000" w:fill="00B050"/>
            <w:noWrap/>
            <w:vAlign w:val="center"/>
            <w:hideMark/>
          </w:tcPr>
          <w:p w:rsidR="00712AE7" w:rsidRPr="00280883" w:rsidRDefault="00280883" w:rsidP="001B78DD">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6</w:t>
            </w:r>
            <w:r w:rsidR="001B78DD">
              <w:rPr>
                <w:rFonts w:asciiTheme="majorHAnsi" w:eastAsia="Times New Roman" w:hAnsiTheme="majorHAnsi" w:cs="Arial"/>
                <w:sz w:val="24"/>
                <w:szCs w:val="24"/>
                <w:lang w:eastAsia="en-GB"/>
              </w:rPr>
              <w:t>9</w:t>
            </w:r>
            <w:r w:rsidR="00712AE7" w:rsidRPr="00280883">
              <w:rPr>
                <w:rFonts w:asciiTheme="majorHAnsi" w:eastAsia="Times New Roman" w:hAnsiTheme="majorHAnsi" w:cs="Arial"/>
                <w:sz w:val="24"/>
                <w:szCs w:val="24"/>
                <w:lang w:eastAsia="en-GB"/>
              </w:rPr>
              <w:t>%</w:t>
            </w:r>
          </w:p>
        </w:tc>
        <w:tc>
          <w:tcPr>
            <w:tcW w:w="1276" w:type="dxa"/>
            <w:tcBorders>
              <w:top w:val="single" w:sz="4" w:space="0" w:color="auto"/>
              <w:left w:val="nil"/>
              <w:bottom w:val="nil"/>
              <w:right w:val="single" w:sz="4" w:space="0" w:color="auto"/>
            </w:tcBorders>
            <w:shd w:val="clear" w:color="000000" w:fill="FFFFFF"/>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655680" behindDoc="0" locked="0" layoutInCell="1" allowOverlap="1" wp14:anchorId="6559EE37" wp14:editId="46149B02">
                  <wp:simplePos x="0" y="0"/>
                  <wp:positionH relativeFrom="column">
                    <wp:posOffset>247650</wp:posOffset>
                  </wp:positionH>
                  <wp:positionV relativeFrom="paragraph">
                    <wp:posOffset>-114935</wp:posOffset>
                  </wp:positionV>
                  <wp:extent cx="171450" cy="171450"/>
                  <wp:effectExtent l="0" t="0" r="0" b="0"/>
                  <wp:wrapNone/>
                  <wp:docPr id="3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single" w:sz="4" w:space="0" w:color="auto"/>
              <w:left w:val="nil"/>
              <w:bottom w:val="nil"/>
              <w:right w:val="single" w:sz="8" w:space="0" w:color="auto"/>
            </w:tcBorders>
            <w:shd w:val="clear" w:color="000000" w:fill="FFFFFF"/>
            <w:vAlign w:val="center"/>
            <w:hideMark/>
          </w:tcPr>
          <w:p w:rsidR="00712AE7" w:rsidRPr="00CF02F5" w:rsidRDefault="00712AE7" w:rsidP="007C5706">
            <w:pPr>
              <w:spacing w:after="0" w:line="240" w:lineRule="auto"/>
              <w:rPr>
                <w:rFonts w:asciiTheme="majorHAnsi" w:eastAsia="Times New Roman" w:hAnsiTheme="majorHAnsi" w:cs="Arial"/>
                <w:sz w:val="24"/>
                <w:szCs w:val="24"/>
                <w:lang w:eastAsia="en-GB"/>
              </w:rPr>
            </w:pPr>
            <w:r w:rsidRPr="00CF02F5">
              <w:rPr>
                <w:rFonts w:asciiTheme="majorHAnsi" w:eastAsia="Times New Roman" w:hAnsiTheme="majorHAnsi" w:cs="Arial"/>
                <w:sz w:val="24"/>
                <w:szCs w:val="24"/>
                <w:lang w:eastAsia="en-GB"/>
              </w:rPr>
              <w:t xml:space="preserve">Female disciplinary cases are proportionately lower than the levels in the workforce, </w:t>
            </w:r>
            <w:r w:rsidR="00280883" w:rsidRPr="00CF02F5">
              <w:rPr>
                <w:rFonts w:asciiTheme="majorHAnsi" w:eastAsia="Times New Roman" w:hAnsiTheme="majorHAnsi" w:cs="Arial"/>
                <w:sz w:val="24"/>
                <w:szCs w:val="24"/>
                <w:lang w:eastAsia="en-GB"/>
              </w:rPr>
              <w:t xml:space="preserve">and </w:t>
            </w:r>
            <w:r w:rsidR="007C5706">
              <w:rPr>
                <w:rFonts w:asciiTheme="majorHAnsi" w:eastAsia="Times New Roman" w:hAnsiTheme="majorHAnsi" w:cs="Arial"/>
                <w:sz w:val="24"/>
                <w:szCs w:val="24"/>
                <w:lang w:eastAsia="en-GB"/>
              </w:rPr>
              <w:t xml:space="preserve">are broadly similar to </w:t>
            </w:r>
            <w:r w:rsidR="00280883" w:rsidRPr="00CF02F5">
              <w:rPr>
                <w:rFonts w:asciiTheme="majorHAnsi" w:eastAsia="Times New Roman" w:hAnsiTheme="majorHAnsi" w:cs="Arial"/>
                <w:sz w:val="24"/>
                <w:szCs w:val="24"/>
                <w:lang w:eastAsia="en-GB"/>
              </w:rPr>
              <w:t>last year.</w:t>
            </w:r>
          </w:p>
        </w:tc>
      </w:tr>
      <w:tr w:rsidR="00712AE7" w:rsidRPr="00280883" w:rsidTr="00280883">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xml:space="preserve"> </w:t>
            </w:r>
          </w:p>
        </w:tc>
        <w:tc>
          <w:tcPr>
            <w:tcW w:w="2409" w:type="dxa"/>
            <w:tcBorders>
              <w:top w:val="single" w:sz="4" w:space="0" w:color="auto"/>
              <w:left w:val="nil"/>
              <w:bottom w:val="nil"/>
              <w:right w:val="single" w:sz="4" w:space="0" w:color="auto"/>
            </w:tcBorders>
            <w:shd w:val="clear" w:color="000000" w:fill="FFFFFF"/>
            <w:vAlign w:val="center"/>
            <w:hideMark/>
          </w:tcPr>
          <w:p w:rsidR="00712AE7" w:rsidRPr="00280883" w:rsidRDefault="00712AE7" w:rsidP="00BD3DD0">
            <w:pPr>
              <w:spacing w:after="0" w:line="240" w:lineRule="auto"/>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Assessment (Doctors awards) BME %</w:t>
            </w:r>
          </w:p>
        </w:tc>
        <w:tc>
          <w:tcPr>
            <w:tcW w:w="1242" w:type="dxa"/>
            <w:tcBorders>
              <w:top w:val="nil"/>
              <w:left w:val="nil"/>
              <w:bottom w:val="nil"/>
              <w:right w:val="single" w:sz="4" w:space="0" w:color="auto"/>
            </w:tcBorders>
            <w:shd w:val="clear" w:color="000000" w:fill="FFFFFF"/>
            <w:noWrap/>
            <w:vAlign w:val="center"/>
            <w:hideMark/>
          </w:tcPr>
          <w:p w:rsidR="00712AE7" w:rsidRPr="00280883" w:rsidRDefault="00280883" w:rsidP="00BD3DD0">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30</w:t>
            </w:r>
            <w:r w:rsidR="00712AE7" w:rsidRPr="00280883">
              <w:rPr>
                <w:rFonts w:asciiTheme="majorHAnsi" w:eastAsia="Times New Roman" w:hAnsiTheme="majorHAnsi" w:cs="Arial"/>
                <w:sz w:val="24"/>
                <w:szCs w:val="24"/>
                <w:lang w:eastAsia="en-GB"/>
              </w:rPr>
              <w:t>%</w:t>
            </w:r>
          </w:p>
        </w:tc>
        <w:tc>
          <w:tcPr>
            <w:tcW w:w="1134" w:type="dxa"/>
            <w:tcBorders>
              <w:top w:val="single" w:sz="4" w:space="0" w:color="auto"/>
              <w:left w:val="nil"/>
              <w:bottom w:val="single" w:sz="8" w:space="0" w:color="auto"/>
              <w:right w:val="single" w:sz="4" w:space="0" w:color="auto"/>
            </w:tcBorders>
            <w:shd w:val="clear" w:color="auto" w:fill="00B050"/>
            <w:noWrap/>
            <w:vAlign w:val="center"/>
            <w:hideMark/>
          </w:tcPr>
          <w:p w:rsidR="00712AE7" w:rsidRPr="00280883" w:rsidRDefault="00280883" w:rsidP="00BD3DD0">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40</w:t>
            </w:r>
            <w:r w:rsidR="00712AE7" w:rsidRPr="00280883">
              <w:rPr>
                <w:rFonts w:asciiTheme="majorHAnsi" w:eastAsia="Times New Roman" w:hAnsiTheme="majorHAnsi" w:cs="Arial"/>
                <w:sz w:val="24"/>
                <w:szCs w:val="24"/>
                <w:lang w:eastAsia="en-GB"/>
              </w:rPr>
              <w:t>%</w:t>
            </w:r>
          </w:p>
        </w:tc>
        <w:tc>
          <w:tcPr>
            <w:tcW w:w="1276" w:type="dxa"/>
            <w:tcBorders>
              <w:top w:val="single" w:sz="4" w:space="0" w:color="auto"/>
              <w:left w:val="nil"/>
              <w:bottom w:val="nil"/>
              <w:right w:val="single" w:sz="4" w:space="0" w:color="auto"/>
            </w:tcBorders>
            <w:shd w:val="clear" w:color="000000" w:fill="FFFFFF"/>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663872" behindDoc="0" locked="0" layoutInCell="1" allowOverlap="1" wp14:anchorId="0190D2F1" wp14:editId="2BF916AF">
                  <wp:simplePos x="0" y="0"/>
                  <wp:positionH relativeFrom="column">
                    <wp:posOffset>196215</wp:posOffset>
                  </wp:positionH>
                  <wp:positionV relativeFrom="paragraph">
                    <wp:posOffset>-40005</wp:posOffset>
                  </wp:positionV>
                  <wp:extent cx="285750" cy="133350"/>
                  <wp:effectExtent l="0" t="0" r="0" b="0"/>
                  <wp:wrapNone/>
                  <wp:docPr id="2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single" w:sz="4" w:space="0" w:color="auto"/>
              <w:left w:val="nil"/>
              <w:bottom w:val="nil"/>
              <w:right w:val="single" w:sz="8" w:space="0" w:color="auto"/>
            </w:tcBorders>
            <w:shd w:val="clear" w:color="000000" w:fill="FFFFFF"/>
            <w:noWrap/>
            <w:vAlign w:val="center"/>
            <w:hideMark/>
          </w:tcPr>
          <w:p w:rsidR="00712AE7" w:rsidRPr="00CF02F5" w:rsidRDefault="00712AE7" w:rsidP="00280883">
            <w:pPr>
              <w:spacing w:after="0" w:line="240" w:lineRule="auto"/>
              <w:rPr>
                <w:rFonts w:asciiTheme="majorHAnsi" w:eastAsia="Times New Roman" w:hAnsiTheme="majorHAnsi" w:cs="Arial"/>
                <w:sz w:val="24"/>
                <w:szCs w:val="24"/>
                <w:lang w:eastAsia="en-GB"/>
              </w:rPr>
            </w:pPr>
            <w:r w:rsidRPr="00CF02F5">
              <w:rPr>
                <w:rFonts w:asciiTheme="majorHAnsi" w:eastAsia="Times New Roman" w:hAnsiTheme="majorHAnsi" w:cs="Arial"/>
                <w:sz w:val="24"/>
                <w:szCs w:val="24"/>
                <w:lang w:eastAsia="en-GB"/>
              </w:rPr>
              <w:t xml:space="preserve">Awards to female doctors </w:t>
            </w:r>
            <w:r w:rsidR="00280883" w:rsidRPr="00CF02F5">
              <w:rPr>
                <w:rFonts w:asciiTheme="majorHAnsi" w:eastAsia="Times New Roman" w:hAnsiTheme="majorHAnsi" w:cs="Arial"/>
                <w:sz w:val="24"/>
                <w:szCs w:val="24"/>
                <w:lang w:eastAsia="en-GB"/>
              </w:rPr>
              <w:t>have increased significantly and are now more than the proportions in post.</w:t>
            </w:r>
          </w:p>
        </w:tc>
      </w:tr>
      <w:tr w:rsidR="00712AE7" w:rsidRPr="00280883" w:rsidTr="00280883">
        <w:trPr>
          <w:trHeight w:val="540"/>
        </w:trPr>
        <w:tc>
          <w:tcPr>
            <w:tcW w:w="1702" w:type="dxa"/>
            <w:tcBorders>
              <w:top w:val="single" w:sz="8" w:space="0" w:color="auto"/>
              <w:left w:val="single" w:sz="8" w:space="0" w:color="auto"/>
              <w:bottom w:val="nil"/>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b/>
                <w:bCs/>
                <w:sz w:val="24"/>
                <w:szCs w:val="24"/>
                <w:lang w:eastAsia="en-GB"/>
              </w:rPr>
            </w:pPr>
            <w:r w:rsidRPr="00280883">
              <w:rPr>
                <w:rFonts w:asciiTheme="majorHAnsi" w:eastAsia="Times New Roman" w:hAnsiTheme="majorHAnsi" w:cs="Arial"/>
                <w:b/>
                <w:bCs/>
                <w:sz w:val="24"/>
                <w:szCs w:val="24"/>
                <w:lang w:eastAsia="en-GB"/>
              </w:rPr>
              <w:t>DISABILTY</w:t>
            </w:r>
          </w:p>
        </w:tc>
        <w:tc>
          <w:tcPr>
            <w:tcW w:w="2409" w:type="dxa"/>
            <w:tcBorders>
              <w:top w:val="single" w:sz="8" w:space="0" w:color="auto"/>
              <w:left w:val="nil"/>
              <w:bottom w:val="single" w:sz="4" w:space="0" w:color="auto"/>
              <w:right w:val="single" w:sz="4" w:space="0" w:color="auto"/>
            </w:tcBorders>
            <w:shd w:val="clear" w:color="000000" w:fill="FFFFFF"/>
            <w:vAlign w:val="center"/>
            <w:hideMark/>
          </w:tcPr>
          <w:p w:rsidR="00712AE7" w:rsidRPr="00280883" w:rsidRDefault="00712AE7" w:rsidP="00BD3DD0">
            <w:pPr>
              <w:spacing w:after="0" w:line="240" w:lineRule="auto"/>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Employees with a disability recorded No.</w:t>
            </w:r>
          </w:p>
        </w:tc>
        <w:tc>
          <w:tcPr>
            <w:tcW w:w="1242" w:type="dxa"/>
            <w:tcBorders>
              <w:top w:val="single" w:sz="8" w:space="0" w:color="auto"/>
              <w:left w:val="nil"/>
              <w:bottom w:val="single" w:sz="4"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w:t>
            </w:r>
          </w:p>
        </w:tc>
        <w:tc>
          <w:tcPr>
            <w:tcW w:w="1134" w:type="dxa"/>
            <w:tcBorders>
              <w:top w:val="single" w:sz="8" w:space="0" w:color="auto"/>
              <w:left w:val="nil"/>
              <w:bottom w:val="single" w:sz="4" w:space="0" w:color="auto"/>
              <w:right w:val="single" w:sz="4" w:space="0" w:color="auto"/>
            </w:tcBorders>
            <w:shd w:val="clear" w:color="000000" w:fill="00B050"/>
            <w:noWrap/>
            <w:vAlign w:val="center"/>
            <w:hideMark/>
          </w:tcPr>
          <w:p w:rsidR="00712AE7" w:rsidRPr="00280883" w:rsidRDefault="00712AE7" w:rsidP="001B78DD">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2</w:t>
            </w:r>
            <w:r w:rsidR="00CF02F5">
              <w:rPr>
                <w:rFonts w:asciiTheme="majorHAnsi" w:eastAsia="Times New Roman" w:hAnsiTheme="majorHAnsi" w:cs="Arial"/>
                <w:sz w:val="24"/>
                <w:szCs w:val="24"/>
                <w:lang w:eastAsia="en-GB"/>
              </w:rPr>
              <w:t>3</w:t>
            </w:r>
            <w:r w:rsidR="001B78DD">
              <w:rPr>
                <w:rFonts w:asciiTheme="majorHAnsi" w:eastAsia="Times New Roman" w:hAnsiTheme="majorHAnsi" w:cs="Arial"/>
                <w:sz w:val="24"/>
                <w:szCs w:val="24"/>
                <w:lang w:eastAsia="en-GB"/>
              </w:rPr>
              <w:t>1</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712AE7" w:rsidRPr="00280883" w:rsidRDefault="00CF3E1B"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648512" behindDoc="0" locked="0" layoutInCell="1" allowOverlap="1" wp14:anchorId="73636DA7" wp14:editId="487299F3">
                  <wp:simplePos x="0" y="0"/>
                  <wp:positionH relativeFrom="column">
                    <wp:posOffset>251460</wp:posOffset>
                  </wp:positionH>
                  <wp:positionV relativeFrom="paragraph">
                    <wp:posOffset>31115</wp:posOffset>
                  </wp:positionV>
                  <wp:extent cx="133350" cy="161925"/>
                  <wp:effectExtent l="0" t="0" r="0" b="9525"/>
                  <wp:wrapNone/>
                  <wp:docPr id="31" name="AutoShap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7"/>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single" w:sz="8" w:space="0" w:color="auto"/>
              <w:left w:val="nil"/>
              <w:bottom w:val="single" w:sz="4" w:space="0" w:color="auto"/>
              <w:right w:val="single" w:sz="8" w:space="0" w:color="auto"/>
            </w:tcBorders>
            <w:shd w:val="clear" w:color="000000" w:fill="FFFFFF"/>
            <w:vAlign w:val="center"/>
            <w:hideMark/>
          </w:tcPr>
          <w:p w:rsidR="00712AE7" w:rsidRPr="00CF02F5" w:rsidRDefault="00712AE7" w:rsidP="007C5706">
            <w:pPr>
              <w:spacing w:after="0" w:line="240" w:lineRule="auto"/>
              <w:rPr>
                <w:rFonts w:asciiTheme="majorHAnsi" w:eastAsia="Times New Roman" w:hAnsiTheme="majorHAnsi" w:cs="Arial"/>
                <w:sz w:val="24"/>
                <w:szCs w:val="24"/>
                <w:lang w:eastAsia="en-GB"/>
              </w:rPr>
            </w:pPr>
            <w:r w:rsidRPr="00CF02F5">
              <w:rPr>
                <w:rFonts w:asciiTheme="majorHAnsi" w:eastAsia="Times New Roman" w:hAnsiTheme="majorHAnsi" w:cs="Arial"/>
                <w:sz w:val="24"/>
                <w:szCs w:val="24"/>
                <w:lang w:eastAsia="en-GB"/>
              </w:rPr>
              <w:t xml:space="preserve">Slightly up from </w:t>
            </w:r>
            <w:r w:rsidR="007C5706">
              <w:rPr>
                <w:rFonts w:asciiTheme="majorHAnsi" w:eastAsia="Times New Roman" w:hAnsiTheme="majorHAnsi" w:cs="Arial"/>
                <w:sz w:val="24"/>
                <w:szCs w:val="24"/>
                <w:lang w:eastAsia="en-GB"/>
              </w:rPr>
              <w:t>230</w:t>
            </w:r>
            <w:r w:rsidRPr="00CF02F5">
              <w:rPr>
                <w:rFonts w:asciiTheme="majorHAnsi" w:eastAsia="Times New Roman" w:hAnsiTheme="majorHAnsi" w:cs="Arial"/>
                <w:sz w:val="24"/>
                <w:szCs w:val="24"/>
                <w:lang w:eastAsia="en-GB"/>
              </w:rPr>
              <w:t xml:space="preserve"> last year.</w:t>
            </w:r>
          </w:p>
        </w:tc>
      </w:tr>
      <w:tr w:rsidR="00712AE7" w:rsidRPr="00280883" w:rsidTr="00280883">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xml:space="preserve"> </w:t>
            </w:r>
          </w:p>
        </w:tc>
        <w:tc>
          <w:tcPr>
            <w:tcW w:w="2409" w:type="dxa"/>
            <w:tcBorders>
              <w:top w:val="nil"/>
              <w:left w:val="nil"/>
              <w:bottom w:val="nil"/>
              <w:right w:val="single" w:sz="4" w:space="0" w:color="auto"/>
            </w:tcBorders>
            <w:shd w:val="clear" w:color="000000" w:fill="FFFFFF"/>
            <w:vAlign w:val="center"/>
            <w:hideMark/>
          </w:tcPr>
          <w:p w:rsidR="00712AE7" w:rsidRPr="00280883" w:rsidRDefault="00B23A3A" w:rsidP="001B78DD">
            <w:pPr>
              <w:spacing w:after="0" w:line="240" w:lineRule="auto"/>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Last</w:t>
            </w:r>
            <w:r w:rsidR="00712AE7" w:rsidRPr="00280883">
              <w:rPr>
                <w:rFonts w:asciiTheme="majorHAnsi" w:eastAsia="Times New Roman" w:hAnsiTheme="majorHAnsi" w:cs="Arial"/>
                <w:sz w:val="24"/>
                <w:szCs w:val="24"/>
                <w:lang w:eastAsia="en-GB"/>
              </w:rPr>
              <w:t xml:space="preserve"> </w:t>
            </w:r>
            <w:r w:rsidR="001B78DD">
              <w:rPr>
                <w:rFonts w:asciiTheme="majorHAnsi" w:eastAsia="Times New Roman" w:hAnsiTheme="majorHAnsi" w:cs="Arial"/>
                <w:sz w:val="24"/>
                <w:szCs w:val="24"/>
                <w:lang w:eastAsia="en-GB"/>
              </w:rPr>
              <w:t>12</w:t>
            </w:r>
            <w:r w:rsidR="00712AE7" w:rsidRPr="00280883">
              <w:rPr>
                <w:rFonts w:asciiTheme="majorHAnsi" w:eastAsia="Times New Roman" w:hAnsiTheme="majorHAnsi" w:cs="Arial"/>
                <w:sz w:val="24"/>
                <w:szCs w:val="24"/>
                <w:lang w:eastAsia="en-GB"/>
              </w:rPr>
              <w:t xml:space="preserve"> mths Appointments Staff with a disability No.</w:t>
            </w:r>
          </w:p>
        </w:tc>
        <w:tc>
          <w:tcPr>
            <w:tcW w:w="1242" w:type="dxa"/>
            <w:tcBorders>
              <w:top w:val="nil"/>
              <w:left w:val="nil"/>
              <w:bottom w:val="nil"/>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w:t>
            </w:r>
          </w:p>
        </w:tc>
        <w:tc>
          <w:tcPr>
            <w:tcW w:w="1134" w:type="dxa"/>
            <w:tcBorders>
              <w:top w:val="single" w:sz="4" w:space="0" w:color="auto"/>
              <w:left w:val="nil"/>
              <w:bottom w:val="single" w:sz="8" w:space="0" w:color="auto"/>
              <w:right w:val="single" w:sz="4" w:space="0" w:color="auto"/>
            </w:tcBorders>
            <w:shd w:val="clear" w:color="000000" w:fill="00B050"/>
            <w:noWrap/>
            <w:vAlign w:val="center"/>
            <w:hideMark/>
          </w:tcPr>
          <w:p w:rsidR="00712AE7" w:rsidRPr="00280883" w:rsidRDefault="00CF02F5" w:rsidP="001B78DD">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3.</w:t>
            </w:r>
            <w:r w:rsidR="001B78DD">
              <w:rPr>
                <w:rFonts w:asciiTheme="majorHAnsi" w:eastAsia="Times New Roman" w:hAnsiTheme="majorHAnsi" w:cs="Arial"/>
                <w:sz w:val="24"/>
                <w:szCs w:val="24"/>
                <w:lang w:eastAsia="en-GB"/>
              </w:rPr>
              <w:t>20</w:t>
            </w:r>
            <w:r>
              <w:rPr>
                <w:rFonts w:asciiTheme="majorHAnsi" w:eastAsia="Times New Roman" w:hAnsiTheme="majorHAnsi" w:cs="Arial"/>
                <w:sz w:val="24"/>
                <w:szCs w:val="24"/>
                <w:lang w:eastAsia="en-GB"/>
              </w:rPr>
              <w:t>%</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662848" behindDoc="0" locked="0" layoutInCell="1" allowOverlap="1" wp14:anchorId="240C46D2" wp14:editId="0605A89B">
                  <wp:simplePos x="0" y="0"/>
                  <wp:positionH relativeFrom="column">
                    <wp:posOffset>250825</wp:posOffset>
                  </wp:positionH>
                  <wp:positionV relativeFrom="paragraph">
                    <wp:posOffset>-65405</wp:posOffset>
                  </wp:positionV>
                  <wp:extent cx="171450" cy="171450"/>
                  <wp:effectExtent l="0" t="0" r="0" b="0"/>
                  <wp:wrapNone/>
                  <wp:docPr id="33"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rot="10800000">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nil"/>
              <w:left w:val="nil"/>
              <w:bottom w:val="nil"/>
              <w:right w:val="single" w:sz="8" w:space="0" w:color="auto"/>
            </w:tcBorders>
            <w:shd w:val="clear" w:color="000000" w:fill="FFFFFF"/>
            <w:vAlign w:val="center"/>
            <w:hideMark/>
          </w:tcPr>
          <w:p w:rsidR="00712AE7" w:rsidRPr="00280883" w:rsidRDefault="00CF02F5" w:rsidP="007C5706">
            <w:pPr>
              <w:spacing w:after="0" w:line="240" w:lineRule="auto"/>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3.</w:t>
            </w:r>
            <w:r w:rsidR="007C5706">
              <w:rPr>
                <w:rFonts w:asciiTheme="majorHAnsi" w:eastAsia="Times New Roman" w:hAnsiTheme="majorHAnsi" w:cs="Arial"/>
                <w:sz w:val="24"/>
                <w:szCs w:val="24"/>
                <w:lang w:eastAsia="en-GB"/>
              </w:rPr>
              <w:t>20</w:t>
            </w:r>
            <w:r>
              <w:rPr>
                <w:rFonts w:asciiTheme="majorHAnsi" w:eastAsia="Times New Roman" w:hAnsiTheme="majorHAnsi" w:cs="Arial"/>
                <w:sz w:val="24"/>
                <w:szCs w:val="24"/>
                <w:lang w:eastAsia="en-GB"/>
              </w:rPr>
              <w:t xml:space="preserve">% of </w:t>
            </w:r>
            <w:r w:rsidR="00712AE7" w:rsidRPr="00280883">
              <w:rPr>
                <w:rFonts w:asciiTheme="majorHAnsi" w:eastAsia="Times New Roman" w:hAnsiTheme="majorHAnsi" w:cs="Arial"/>
                <w:sz w:val="24"/>
                <w:szCs w:val="24"/>
                <w:lang w:eastAsia="en-GB"/>
              </w:rPr>
              <w:t xml:space="preserve">appointees declared a disability this year compared with </w:t>
            </w:r>
            <w:r>
              <w:rPr>
                <w:rFonts w:asciiTheme="majorHAnsi" w:eastAsia="Times New Roman" w:hAnsiTheme="majorHAnsi" w:cs="Arial"/>
                <w:sz w:val="24"/>
                <w:szCs w:val="24"/>
                <w:lang w:eastAsia="en-GB"/>
              </w:rPr>
              <w:t>3.</w:t>
            </w:r>
            <w:r w:rsidR="007C5706">
              <w:rPr>
                <w:rFonts w:asciiTheme="majorHAnsi" w:eastAsia="Times New Roman" w:hAnsiTheme="majorHAnsi" w:cs="Arial"/>
                <w:sz w:val="24"/>
                <w:szCs w:val="24"/>
                <w:lang w:eastAsia="en-GB"/>
              </w:rPr>
              <w:t>90</w:t>
            </w:r>
            <w:r>
              <w:rPr>
                <w:rFonts w:asciiTheme="majorHAnsi" w:eastAsia="Times New Roman" w:hAnsiTheme="majorHAnsi" w:cs="Arial"/>
                <w:sz w:val="24"/>
                <w:szCs w:val="24"/>
                <w:lang w:eastAsia="en-GB"/>
              </w:rPr>
              <w:t xml:space="preserve">% </w:t>
            </w:r>
            <w:r w:rsidR="00712AE7" w:rsidRPr="00280883">
              <w:rPr>
                <w:rFonts w:asciiTheme="majorHAnsi" w:eastAsia="Times New Roman" w:hAnsiTheme="majorHAnsi" w:cs="Arial"/>
                <w:sz w:val="24"/>
                <w:szCs w:val="24"/>
                <w:lang w:eastAsia="en-GB"/>
              </w:rPr>
              <w:t>last year</w:t>
            </w:r>
          </w:p>
        </w:tc>
      </w:tr>
      <w:tr w:rsidR="00712AE7" w:rsidRPr="00280883" w:rsidTr="00280883">
        <w:trPr>
          <w:trHeight w:val="540"/>
        </w:trPr>
        <w:tc>
          <w:tcPr>
            <w:tcW w:w="1702" w:type="dxa"/>
            <w:tcBorders>
              <w:top w:val="single" w:sz="8" w:space="0" w:color="auto"/>
              <w:left w:val="single" w:sz="8" w:space="0" w:color="auto"/>
              <w:bottom w:val="nil"/>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b/>
                <w:bCs/>
                <w:sz w:val="24"/>
                <w:szCs w:val="24"/>
                <w:lang w:eastAsia="en-GB"/>
              </w:rPr>
            </w:pPr>
            <w:r w:rsidRPr="00280883">
              <w:rPr>
                <w:rFonts w:asciiTheme="majorHAnsi" w:eastAsia="Times New Roman" w:hAnsiTheme="majorHAnsi" w:cs="Arial"/>
                <w:b/>
                <w:bCs/>
                <w:sz w:val="24"/>
                <w:szCs w:val="24"/>
                <w:lang w:eastAsia="en-GB"/>
              </w:rPr>
              <w:t>AGE</w:t>
            </w:r>
          </w:p>
        </w:tc>
        <w:tc>
          <w:tcPr>
            <w:tcW w:w="2409" w:type="dxa"/>
            <w:tcBorders>
              <w:top w:val="single" w:sz="8" w:space="0" w:color="auto"/>
              <w:left w:val="nil"/>
              <w:bottom w:val="single" w:sz="4" w:space="0" w:color="auto"/>
              <w:right w:val="single" w:sz="4" w:space="0" w:color="auto"/>
            </w:tcBorders>
            <w:shd w:val="clear" w:color="000000" w:fill="FFFFFF"/>
            <w:vAlign w:val="center"/>
            <w:hideMark/>
          </w:tcPr>
          <w:p w:rsidR="00712AE7" w:rsidRPr="00280883" w:rsidRDefault="00712AE7" w:rsidP="00BD3DD0">
            <w:pPr>
              <w:spacing w:after="0" w:line="240" w:lineRule="auto"/>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Qual Nursing Staff aged 55+  %</w:t>
            </w:r>
          </w:p>
        </w:tc>
        <w:tc>
          <w:tcPr>
            <w:tcW w:w="1242" w:type="dxa"/>
            <w:tcBorders>
              <w:top w:val="single" w:sz="8" w:space="0" w:color="auto"/>
              <w:left w:val="nil"/>
              <w:bottom w:val="single" w:sz="4"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w:t>
            </w:r>
          </w:p>
        </w:tc>
        <w:tc>
          <w:tcPr>
            <w:tcW w:w="1134" w:type="dxa"/>
            <w:tcBorders>
              <w:top w:val="single" w:sz="8" w:space="0" w:color="auto"/>
              <w:left w:val="nil"/>
              <w:bottom w:val="single" w:sz="4" w:space="0" w:color="auto"/>
              <w:right w:val="single" w:sz="4" w:space="0" w:color="auto"/>
            </w:tcBorders>
            <w:shd w:val="clear" w:color="000000" w:fill="00B050"/>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10</w:t>
            </w:r>
            <w:r w:rsidR="00712AE7" w:rsidRPr="00280883">
              <w:rPr>
                <w:rFonts w:asciiTheme="majorHAnsi" w:eastAsia="Times New Roman" w:hAnsiTheme="majorHAnsi" w:cs="Arial"/>
                <w:sz w:val="24"/>
                <w:szCs w:val="24"/>
                <w:lang w:eastAsia="en-GB"/>
              </w:rPr>
              <w:t>%</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666944" behindDoc="0" locked="0" layoutInCell="1" allowOverlap="1" wp14:anchorId="4DAB5573" wp14:editId="40F9FB0A">
                  <wp:simplePos x="0" y="0"/>
                  <wp:positionH relativeFrom="column">
                    <wp:posOffset>288925</wp:posOffset>
                  </wp:positionH>
                  <wp:positionV relativeFrom="paragraph">
                    <wp:posOffset>-7620</wp:posOffset>
                  </wp:positionV>
                  <wp:extent cx="133350" cy="161925"/>
                  <wp:effectExtent l="0" t="0" r="0" b="9525"/>
                  <wp:wrapNone/>
                  <wp:docPr id="3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single" w:sz="8" w:space="0" w:color="auto"/>
              <w:left w:val="nil"/>
              <w:bottom w:val="single" w:sz="4" w:space="0" w:color="auto"/>
              <w:right w:val="single" w:sz="8" w:space="0" w:color="auto"/>
            </w:tcBorders>
            <w:shd w:val="clear" w:color="000000" w:fill="FFFFFF"/>
            <w:vAlign w:val="center"/>
            <w:hideMark/>
          </w:tcPr>
          <w:p w:rsidR="00712AE7" w:rsidRPr="00280883" w:rsidRDefault="00712AE7" w:rsidP="007C5706">
            <w:pPr>
              <w:spacing w:after="0" w:line="240" w:lineRule="auto"/>
              <w:ind w:firstLineChars="14" w:firstLine="34"/>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xml:space="preserve">The proportion of Qualified Nursing staff aged 55+ </w:t>
            </w:r>
            <w:r w:rsidR="007C5706">
              <w:rPr>
                <w:rFonts w:asciiTheme="majorHAnsi" w:eastAsia="Times New Roman" w:hAnsiTheme="majorHAnsi" w:cs="Arial"/>
                <w:sz w:val="24"/>
                <w:szCs w:val="24"/>
                <w:lang w:eastAsia="en-GB"/>
              </w:rPr>
              <w:t>has slightly increased this year.</w:t>
            </w:r>
          </w:p>
        </w:tc>
      </w:tr>
      <w:tr w:rsidR="00712AE7" w:rsidRPr="00280883" w:rsidTr="00280883">
        <w:trPr>
          <w:trHeight w:val="540"/>
        </w:trPr>
        <w:tc>
          <w:tcPr>
            <w:tcW w:w="1702" w:type="dxa"/>
            <w:tcBorders>
              <w:top w:val="nil"/>
              <w:left w:val="single" w:sz="8" w:space="0" w:color="auto"/>
              <w:bottom w:val="single" w:sz="8"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xml:space="preserve"> </w:t>
            </w:r>
          </w:p>
        </w:tc>
        <w:tc>
          <w:tcPr>
            <w:tcW w:w="2409" w:type="dxa"/>
            <w:tcBorders>
              <w:top w:val="nil"/>
              <w:left w:val="nil"/>
              <w:bottom w:val="single" w:sz="8" w:space="0" w:color="auto"/>
              <w:right w:val="single" w:sz="4" w:space="0" w:color="auto"/>
            </w:tcBorders>
            <w:shd w:val="clear" w:color="000000" w:fill="FFFFFF"/>
            <w:vAlign w:val="center"/>
            <w:hideMark/>
          </w:tcPr>
          <w:p w:rsidR="00712AE7" w:rsidRPr="00280883" w:rsidRDefault="00712AE7" w:rsidP="00BD3DD0">
            <w:pPr>
              <w:spacing w:after="0" w:line="240" w:lineRule="auto"/>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Consultants aged 55+ %</w:t>
            </w:r>
          </w:p>
        </w:tc>
        <w:tc>
          <w:tcPr>
            <w:tcW w:w="1242" w:type="dxa"/>
            <w:tcBorders>
              <w:top w:val="nil"/>
              <w:left w:val="nil"/>
              <w:bottom w:val="single" w:sz="8"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w:t>
            </w:r>
          </w:p>
        </w:tc>
        <w:tc>
          <w:tcPr>
            <w:tcW w:w="1134" w:type="dxa"/>
            <w:tcBorders>
              <w:top w:val="single" w:sz="4" w:space="0" w:color="auto"/>
              <w:left w:val="nil"/>
              <w:bottom w:val="single" w:sz="8" w:space="0" w:color="auto"/>
              <w:right w:val="single" w:sz="4" w:space="0" w:color="auto"/>
            </w:tcBorders>
            <w:shd w:val="clear" w:color="000000" w:fill="00B050"/>
            <w:noWrap/>
            <w:vAlign w:val="center"/>
            <w:hideMark/>
          </w:tcPr>
          <w:p w:rsidR="00712AE7" w:rsidRPr="00280883" w:rsidRDefault="00712AE7" w:rsidP="001B78DD">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1</w:t>
            </w:r>
            <w:r w:rsidR="001B78DD">
              <w:rPr>
                <w:rFonts w:asciiTheme="majorHAnsi" w:eastAsia="Times New Roman" w:hAnsiTheme="majorHAnsi" w:cs="Arial"/>
                <w:sz w:val="24"/>
                <w:szCs w:val="24"/>
                <w:lang w:eastAsia="en-GB"/>
              </w:rPr>
              <w:t>9</w:t>
            </w:r>
            <w:r w:rsidRPr="00280883">
              <w:rPr>
                <w:rFonts w:asciiTheme="majorHAnsi" w:eastAsia="Times New Roman" w:hAnsiTheme="majorHAnsi" w:cs="Arial"/>
                <w:sz w:val="24"/>
                <w:szCs w:val="24"/>
                <w:lang w:eastAsia="en-GB"/>
              </w:rPr>
              <w:t>%</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712AE7" w:rsidRPr="00280883" w:rsidRDefault="001B78DD"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699712" behindDoc="0" locked="0" layoutInCell="1" allowOverlap="1" wp14:anchorId="382BF973" wp14:editId="0A0D8779">
                  <wp:simplePos x="0" y="0"/>
                  <wp:positionH relativeFrom="column">
                    <wp:posOffset>288925</wp:posOffset>
                  </wp:positionH>
                  <wp:positionV relativeFrom="paragraph">
                    <wp:posOffset>-75565</wp:posOffset>
                  </wp:positionV>
                  <wp:extent cx="133350" cy="161925"/>
                  <wp:effectExtent l="0" t="0" r="0" b="9525"/>
                  <wp:wrapNone/>
                  <wp:docPr id="73"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nil"/>
              <w:left w:val="nil"/>
              <w:bottom w:val="single" w:sz="8" w:space="0" w:color="auto"/>
              <w:right w:val="single" w:sz="8" w:space="0" w:color="auto"/>
            </w:tcBorders>
            <w:shd w:val="clear" w:color="000000" w:fill="FFFFFF"/>
            <w:vAlign w:val="center"/>
            <w:hideMark/>
          </w:tcPr>
          <w:p w:rsidR="00712AE7" w:rsidRPr="00280883" w:rsidRDefault="00712AE7" w:rsidP="007C5706">
            <w:pPr>
              <w:spacing w:after="0" w:line="240" w:lineRule="auto"/>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xml:space="preserve">The proportion of Consultants aged 55+ </w:t>
            </w:r>
            <w:r w:rsidR="007C5706">
              <w:rPr>
                <w:rFonts w:asciiTheme="majorHAnsi" w:eastAsia="Times New Roman" w:hAnsiTheme="majorHAnsi" w:cs="Arial"/>
                <w:sz w:val="24"/>
                <w:szCs w:val="24"/>
                <w:lang w:eastAsia="en-GB"/>
              </w:rPr>
              <w:t>has increased slightly from last year.</w:t>
            </w:r>
          </w:p>
        </w:tc>
      </w:tr>
      <w:tr w:rsidR="00712AE7" w:rsidRPr="00280883" w:rsidTr="001B78DD">
        <w:trPr>
          <w:trHeight w:val="765"/>
        </w:trPr>
        <w:tc>
          <w:tcPr>
            <w:tcW w:w="1702" w:type="dxa"/>
            <w:tcBorders>
              <w:top w:val="nil"/>
              <w:left w:val="single" w:sz="8" w:space="0" w:color="auto"/>
              <w:bottom w:val="nil"/>
              <w:right w:val="single" w:sz="4" w:space="0" w:color="auto"/>
            </w:tcBorders>
            <w:shd w:val="clear" w:color="000000" w:fill="FFFFFF"/>
            <w:vAlign w:val="center"/>
            <w:hideMark/>
          </w:tcPr>
          <w:p w:rsidR="00712AE7" w:rsidRPr="00280883" w:rsidRDefault="00712AE7" w:rsidP="00BD3DD0">
            <w:pPr>
              <w:spacing w:after="0" w:line="240" w:lineRule="auto"/>
              <w:jc w:val="center"/>
              <w:rPr>
                <w:rFonts w:asciiTheme="majorHAnsi" w:eastAsia="Times New Roman" w:hAnsiTheme="majorHAnsi" w:cs="Arial"/>
                <w:b/>
                <w:bCs/>
                <w:sz w:val="24"/>
                <w:szCs w:val="24"/>
                <w:lang w:eastAsia="en-GB"/>
              </w:rPr>
            </w:pPr>
            <w:r w:rsidRPr="00280883">
              <w:rPr>
                <w:rFonts w:asciiTheme="majorHAnsi" w:eastAsia="Times New Roman" w:hAnsiTheme="majorHAnsi" w:cs="Arial"/>
                <w:b/>
                <w:bCs/>
                <w:sz w:val="24"/>
                <w:szCs w:val="24"/>
                <w:lang w:eastAsia="en-GB"/>
              </w:rPr>
              <w:t>RELIGION AND BELIEF</w:t>
            </w:r>
          </w:p>
        </w:tc>
        <w:tc>
          <w:tcPr>
            <w:tcW w:w="2409" w:type="dxa"/>
            <w:tcBorders>
              <w:top w:val="nil"/>
              <w:left w:val="nil"/>
              <w:bottom w:val="single" w:sz="4" w:space="0" w:color="auto"/>
              <w:right w:val="single" w:sz="4" w:space="0" w:color="auto"/>
            </w:tcBorders>
            <w:shd w:val="clear" w:color="000000" w:fill="FFFFFF"/>
            <w:vAlign w:val="center"/>
            <w:hideMark/>
          </w:tcPr>
          <w:p w:rsidR="00712AE7" w:rsidRPr="00280883" w:rsidRDefault="00712AE7" w:rsidP="00BD3DD0">
            <w:pPr>
              <w:spacing w:after="0" w:line="240" w:lineRule="auto"/>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Staff with recorded religion or belief</w:t>
            </w:r>
          </w:p>
        </w:tc>
        <w:tc>
          <w:tcPr>
            <w:tcW w:w="1242" w:type="dxa"/>
            <w:tcBorders>
              <w:top w:val="nil"/>
              <w:left w:val="nil"/>
              <w:bottom w:val="single" w:sz="4"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w:t>
            </w:r>
          </w:p>
        </w:tc>
        <w:tc>
          <w:tcPr>
            <w:tcW w:w="1134" w:type="dxa"/>
            <w:tcBorders>
              <w:top w:val="single" w:sz="8" w:space="0" w:color="auto"/>
              <w:left w:val="nil"/>
              <w:bottom w:val="single" w:sz="8" w:space="0" w:color="auto"/>
              <w:right w:val="single" w:sz="4" w:space="0" w:color="auto"/>
            </w:tcBorders>
            <w:shd w:val="clear" w:color="000000" w:fill="00B050"/>
            <w:noWrap/>
            <w:vAlign w:val="center"/>
            <w:hideMark/>
          </w:tcPr>
          <w:p w:rsidR="00712AE7" w:rsidRPr="00280883" w:rsidRDefault="001B78DD" w:rsidP="00CF02F5">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42.5</w:t>
            </w:r>
            <w:r w:rsidR="00712AE7" w:rsidRPr="00280883">
              <w:rPr>
                <w:rFonts w:asciiTheme="majorHAnsi" w:eastAsia="Times New Roman" w:hAnsiTheme="majorHAnsi" w:cs="Arial"/>
                <w:sz w:val="24"/>
                <w:szCs w:val="24"/>
                <w:lang w:eastAsia="en-GB"/>
              </w:rPr>
              <w:t>%</w:t>
            </w:r>
          </w:p>
        </w:tc>
        <w:tc>
          <w:tcPr>
            <w:tcW w:w="1276" w:type="dxa"/>
            <w:tcBorders>
              <w:top w:val="single" w:sz="8" w:space="0" w:color="auto"/>
              <w:left w:val="nil"/>
              <w:bottom w:val="single" w:sz="4" w:space="0" w:color="auto"/>
              <w:right w:val="single" w:sz="4" w:space="0" w:color="auto"/>
            </w:tcBorders>
            <w:shd w:val="clear" w:color="000000" w:fill="FFFFFF"/>
            <w:noWrap/>
            <w:vAlign w:val="center"/>
          </w:tcPr>
          <w:p w:rsidR="00712AE7" w:rsidRPr="00280883" w:rsidRDefault="00D6153D"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701760" behindDoc="0" locked="0" layoutInCell="1" allowOverlap="1" wp14:anchorId="7AB1A30C" wp14:editId="0BC90656">
                  <wp:simplePos x="0" y="0"/>
                  <wp:positionH relativeFrom="column">
                    <wp:posOffset>317500</wp:posOffset>
                  </wp:positionH>
                  <wp:positionV relativeFrom="paragraph">
                    <wp:posOffset>635</wp:posOffset>
                  </wp:positionV>
                  <wp:extent cx="133350" cy="161925"/>
                  <wp:effectExtent l="0" t="0" r="0" b="9525"/>
                  <wp:wrapNone/>
                  <wp:docPr id="74"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nil"/>
              <w:left w:val="nil"/>
              <w:bottom w:val="single" w:sz="4" w:space="0" w:color="auto"/>
              <w:right w:val="single" w:sz="8" w:space="0" w:color="auto"/>
            </w:tcBorders>
            <w:shd w:val="clear" w:color="000000" w:fill="FFFFFF"/>
            <w:vAlign w:val="center"/>
            <w:hideMark/>
          </w:tcPr>
          <w:p w:rsidR="00712AE7" w:rsidRPr="00280883" w:rsidRDefault="007C5706" w:rsidP="007C5706">
            <w:pPr>
              <w:spacing w:after="0" w:line="240" w:lineRule="auto"/>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43</w:t>
            </w:r>
            <w:r w:rsidR="00712AE7" w:rsidRPr="00280883">
              <w:rPr>
                <w:rFonts w:asciiTheme="majorHAnsi" w:eastAsia="Times New Roman" w:hAnsiTheme="majorHAnsi" w:cs="Arial"/>
                <w:sz w:val="24"/>
                <w:szCs w:val="24"/>
                <w:lang w:eastAsia="en-GB"/>
              </w:rPr>
              <w:t>% of staff have a recorded religion or belief (including no belief) as at January 201</w:t>
            </w:r>
            <w:r w:rsidR="00CF02F5">
              <w:rPr>
                <w:rFonts w:asciiTheme="majorHAnsi" w:eastAsia="Times New Roman" w:hAnsiTheme="majorHAnsi" w:cs="Arial"/>
                <w:sz w:val="24"/>
                <w:szCs w:val="24"/>
                <w:lang w:eastAsia="en-GB"/>
              </w:rPr>
              <w:t>5, an</w:t>
            </w:r>
            <w:r>
              <w:rPr>
                <w:rFonts w:asciiTheme="majorHAnsi" w:eastAsia="Times New Roman" w:hAnsiTheme="majorHAnsi" w:cs="Arial"/>
                <w:sz w:val="24"/>
                <w:szCs w:val="24"/>
                <w:lang w:eastAsia="en-GB"/>
              </w:rPr>
              <w:t xml:space="preserve"> </w:t>
            </w:r>
            <w:r w:rsidR="00CF02F5">
              <w:rPr>
                <w:rFonts w:asciiTheme="majorHAnsi" w:eastAsia="Times New Roman" w:hAnsiTheme="majorHAnsi" w:cs="Arial"/>
                <w:sz w:val="24"/>
                <w:szCs w:val="24"/>
                <w:lang w:eastAsia="en-GB"/>
              </w:rPr>
              <w:t xml:space="preserve">increase of </w:t>
            </w:r>
            <w:r>
              <w:rPr>
                <w:rFonts w:asciiTheme="majorHAnsi" w:eastAsia="Times New Roman" w:hAnsiTheme="majorHAnsi" w:cs="Arial"/>
                <w:sz w:val="24"/>
                <w:szCs w:val="24"/>
                <w:lang w:eastAsia="en-GB"/>
              </w:rPr>
              <w:t>5</w:t>
            </w:r>
            <w:r w:rsidR="00CF02F5">
              <w:rPr>
                <w:rFonts w:asciiTheme="majorHAnsi" w:eastAsia="Times New Roman" w:hAnsiTheme="majorHAnsi" w:cs="Arial"/>
                <w:sz w:val="24"/>
                <w:szCs w:val="24"/>
                <w:lang w:eastAsia="en-GB"/>
              </w:rPr>
              <w:t>% from last year.</w:t>
            </w:r>
          </w:p>
        </w:tc>
      </w:tr>
      <w:tr w:rsidR="00712AE7" w:rsidRPr="00280883" w:rsidTr="00280883">
        <w:trPr>
          <w:trHeight w:val="675"/>
        </w:trPr>
        <w:tc>
          <w:tcPr>
            <w:tcW w:w="1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12AE7" w:rsidRPr="00280883" w:rsidRDefault="00712AE7" w:rsidP="00BD3DD0">
            <w:pPr>
              <w:spacing w:after="0" w:line="240" w:lineRule="auto"/>
              <w:jc w:val="center"/>
              <w:rPr>
                <w:rFonts w:asciiTheme="majorHAnsi" w:eastAsia="Times New Roman" w:hAnsiTheme="majorHAnsi" w:cs="Arial"/>
                <w:b/>
                <w:bCs/>
                <w:sz w:val="24"/>
                <w:szCs w:val="24"/>
                <w:lang w:eastAsia="en-GB"/>
              </w:rPr>
            </w:pPr>
            <w:r w:rsidRPr="00280883">
              <w:rPr>
                <w:rFonts w:asciiTheme="majorHAnsi" w:eastAsia="Times New Roman" w:hAnsiTheme="majorHAnsi" w:cs="Arial"/>
                <w:b/>
                <w:bCs/>
                <w:sz w:val="24"/>
                <w:szCs w:val="24"/>
                <w:lang w:eastAsia="en-GB"/>
              </w:rPr>
              <w:t>SEXUAL ORIENTATION</w:t>
            </w:r>
          </w:p>
        </w:tc>
        <w:tc>
          <w:tcPr>
            <w:tcW w:w="2409" w:type="dxa"/>
            <w:tcBorders>
              <w:top w:val="single" w:sz="8" w:space="0" w:color="auto"/>
              <w:left w:val="nil"/>
              <w:bottom w:val="single" w:sz="8" w:space="0" w:color="auto"/>
              <w:right w:val="single" w:sz="4" w:space="0" w:color="auto"/>
            </w:tcBorders>
            <w:shd w:val="clear" w:color="000000" w:fill="FFFFFF"/>
            <w:vAlign w:val="center"/>
            <w:hideMark/>
          </w:tcPr>
          <w:p w:rsidR="00712AE7" w:rsidRPr="00280883" w:rsidRDefault="00712AE7" w:rsidP="00BD3DD0">
            <w:pPr>
              <w:spacing w:after="0" w:line="240" w:lineRule="auto"/>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Staff with recorded sexual orientation</w:t>
            </w:r>
          </w:p>
        </w:tc>
        <w:tc>
          <w:tcPr>
            <w:tcW w:w="1242" w:type="dxa"/>
            <w:tcBorders>
              <w:top w:val="single" w:sz="8" w:space="0" w:color="auto"/>
              <w:left w:val="nil"/>
              <w:bottom w:val="single" w:sz="8" w:space="0" w:color="auto"/>
              <w:right w:val="single" w:sz="4" w:space="0" w:color="auto"/>
            </w:tcBorders>
            <w:shd w:val="clear" w:color="000000" w:fill="FFFFFF"/>
            <w:noWrap/>
            <w:vAlign w:val="center"/>
            <w:hideMark/>
          </w:tcPr>
          <w:p w:rsidR="00712AE7" w:rsidRPr="00280883" w:rsidRDefault="00712AE7"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sz w:val="24"/>
                <w:szCs w:val="24"/>
                <w:lang w:eastAsia="en-GB"/>
              </w:rPr>
              <w:t> </w:t>
            </w:r>
          </w:p>
        </w:tc>
        <w:tc>
          <w:tcPr>
            <w:tcW w:w="1134" w:type="dxa"/>
            <w:tcBorders>
              <w:top w:val="single" w:sz="8" w:space="0" w:color="auto"/>
              <w:left w:val="nil"/>
              <w:bottom w:val="single" w:sz="8" w:space="0" w:color="auto"/>
              <w:right w:val="single" w:sz="4" w:space="0" w:color="auto"/>
            </w:tcBorders>
            <w:shd w:val="clear" w:color="000000" w:fill="00B050"/>
            <w:noWrap/>
            <w:vAlign w:val="center"/>
            <w:hideMark/>
          </w:tcPr>
          <w:p w:rsidR="00712AE7" w:rsidRPr="00280883" w:rsidRDefault="001B78DD" w:rsidP="00CF02F5">
            <w:pPr>
              <w:spacing w:after="0" w:line="240" w:lineRule="auto"/>
              <w:jc w:val="cente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43.7</w:t>
            </w:r>
            <w:r w:rsidR="00712AE7" w:rsidRPr="00280883">
              <w:rPr>
                <w:rFonts w:asciiTheme="majorHAnsi" w:eastAsia="Times New Roman" w:hAnsiTheme="majorHAnsi" w:cs="Arial"/>
                <w:sz w:val="24"/>
                <w:szCs w:val="24"/>
                <w:lang w:eastAsia="en-GB"/>
              </w:rPr>
              <w:t>%</w:t>
            </w:r>
          </w:p>
        </w:tc>
        <w:tc>
          <w:tcPr>
            <w:tcW w:w="1276" w:type="dxa"/>
            <w:tcBorders>
              <w:top w:val="single" w:sz="8" w:space="0" w:color="auto"/>
              <w:left w:val="nil"/>
              <w:bottom w:val="single" w:sz="8" w:space="0" w:color="auto"/>
              <w:right w:val="single" w:sz="4" w:space="0" w:color="auto"/>
            </w:tcBorders>
            <w:shd w:val="clear" w:color="000000" w:fill="FFFFFF"/>
            <w:noWrap/>
            <w:vAlign w:val="center"/>
            <w:hideMark/>
          </w:tcPr>
          <w:p w:rsidR="00712AE7" w:rsidRPr="00280883" w:rsidRDefault="00D6153D" w:rsidP="00BD3DD0">
            <w:pPr>
              <w:spacing w:after="0" w:line="240" w:lineRule="auto"/>
              <w:jc w:val="center"/>
              <w:rPr>
                <w:rFonts w:asciiTheme="majorHAnsi" w:eastAsia="Times New Roman" w:hAnsiTheme="majorHAnsi" w:cs="Arial"/>
                <w:sz w:val="24"/>
                <w:szCs w:val="24"/>
                <w:lang w:eastAsia="en-GB"/>
              </w:rPr>
            </w:pPr>
            <w:r w:rsidRPr="00280883">
              <w:rPr>
                <w:rFonts w:asciiTheme="majorHAnsi" w:eastAsia="Times New Roman" w:hAnsiTheme="majorHAnsi" w:cs="Arial"/>
                <w:noProof/>
                <w:sz w:val="24"/>
                <w:szCs w:val="24"/>
                <w:lang w:eastAsia="en-GB"/>
              </w:rPr>
              <w:drawing>
                <wp:anchor distT="0" distB="0" distL="114300" distR="114300" simplePos="0" relativeHeight="251703808" behindDoc="0" locked="0" layoutInCell="1" allowOverlap="1" wp14:anchorId="271D762E" wp14:editId="304B93C9">
                  <wp:simplePos x="0" y="0"/>
                  <wp:positionH relativeFrom="column">
                    <wp:posOffset>318770</wp:posOffset>
                  </wp:positionH>
                  <wp:positionV relativeFrom="paragraph">
                    <wp:posOffset>-90170</wp:posOffset>
                  </wp:positionV>
                  <wp:extent cx="133350" cy="161925"/>
                  <wp:effectExtent l="0" t="0" r="0" b="9525"/>
                  <wp:wrapNone/>
                  <wp:docPr id="75"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pic:spPr>
                      </pic:pic>
                    </a:graphicData>
                  </a:graphic>
                  <wp14:sizeRelH relativeFrom="page">
                    <wp14:pctWidth>0</wp14:pctWidth>
                  </wp14:sizeRelH>
                  <wp14:sizeRelV relativeFrom="page">
                    <wp14:pctHeight>0</wp14:pctHeight>
                  </wp14:sizeRelV>
                </wp:anchor>
              </w:drawing>
            </w:r>
          </w:p>
        </w:tc>
        <w:tc>
          <w:tcPr>
            <w:tcW w:w="8466" w:type="dxa"/>
            <w:tcBorders>
              <w:top w:val="single" w:sz="8" w:space="0" w:color="auto"/>
              <w:left w:val="nil"/>
              <w:bottom w:val="single" w:sz="8" w:space="0" w:color="auto"/>
              <w:right w:val="single" w:sz="8" w:space="0" w:color="auto"/>
            </w:tcBorders>
            <w:shd w:val="clear" w:color="000000" w:fill="FFFFFF"/>
            <w:vAlign w:val="center"/>
            <w:hideMark/>
          </w:tcPr>
          <w:p w:rsidR="00712AE7" w:rsidRPr="00280883" w:rsidRDefault="007C5706" w:rsidP="007C5706">
            <w:pPr>
              <w:spacing w:after="0" w:line="240" w:lineRule="auto"/>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44</w:t>
            </w:r>
            <w:r w:rsidR="00712AE7" w:rsidRPr="00280883">
              <w:rPr>
                <w:rFonts w:asciiTheme="majorHAnsi" w:eastAsia="Times New Roman" w:hAnsiTheme="majorHAnsi" w:cs="Arial"/>
                <w:sz w:val="24"/>
                <w:szCs w:val="24"/>
                <w:lang w:eastAsia="en-GB"/>
              </w:rPr>
              <w:t>% of staff have a recorded sexual orientation as at January 201</w:t>
            </w:r>
            <w:r w:rsidR="00CF02F5">
              <w:rPr>
                <w:rFonts w:asciiTheme="majorHAnsi" w:eastAsia="Times New Roman" w:hAnsiTheme="majorHAnsi" w:cs="Arial"/>
                <w:sz w:val="24"/>
                <w:szCs w:val="24"/>
                <w:lang w:eastAsia="en-GB"/>
              </w:rPr>
              <w:t>5 a</w:t>
            </w:r>
            <w:r>
              <w:rPr>
                <w:rFonts w:asciiTheme="majorHAnsi" w:eastAsia="Times New Roman" w:hAnsiTheme="majorHAnsi" w:cs="Arial"/>
                <w:sz w:val="24"/>
                <w:szCs w:val="24"/>
                <w:lang w:eastAsia="en-GB"/>
              </w:rPr>
              <w:t xml:space="preserve">n increase of 5% </w:t>
            </w:r>
            <w:r w:rsidR="00CF02F5">
              <w:rPr>
                <w:rFonts w:asciiTheme="majorHAnsi" w:eastAsia="Times New Roman" w:hAnsiTheme="majorHAnsi" w:cs="Arial"/>
                <w:sz w:val="24"/>
                <w:szCs w:val="24"/>
                <w:lang w:eastAsia="en-GB"/>
              </w:rPr>
              <w:t>from last year.</w:t>
            </w:r>
          </w:p>
        </w:tc>
      </w:tr>
    </w:tbl>
    <w:p w:rsidR="00712AE7" w:rsidRPr="00CD4AA4" w:rsidRDefault="00712AE7" w:rsidP="00712AE7">
      <w:pPr>
        <w:rPr>
          <w:rFonts w:cs="Arial"/>
        </w:rPr>
      </w:pPr>
    </w:p>
    <w:p w:rsidR="00712AE7" w:rsidRPr="00CD4AA4" w:rsidRDefault="00712AE7" w:rsidP="00712AE7">
      <w:pPr>
        <w:jc w:val="both"/>
        <w:rPr>
          <w:rFonts w:cs="Arial"/>
          <w:b/>
        </w:rPr>
      </w:pPr>
    </w:p>
    <w:p w:rsidR="00712AE7" w:rsidRPr="00CD4AA4" w:rsidRDefault="00712AE7"/>
    <w:sectPr w:rsidR="00712AE7" w:rsidRPr="00CD4AA4" w:rsidSect="00712AE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CD" w:rsidRDefault="001E5ECD" w:rsidP="00CD4AA4">
      <w:pPr>
        <w:spacing w:after="0" w:line="240" w:lineRule="auto"/>
      </w:pPr>
      <w:r>
        <w:separator/>
      </w:r>
    </w:p>
  </w:endnote>
  <w:endnote w:type="continuationSeparator" w:id="0">
    <w:p w:rsidR="001E5ECD" w:rsidRDefault="001E5ECD" w:rsidP="00CD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65" w:rsidRDefault="002E0665" w:rsidP="00CD4A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0665" w:rsidRDefault="002E0665" w:rsidP="00CD4A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65" w:rsidRPr="00626696" w:rsidRDefault="002E0665" w:rsidP="00CD4AA4">
    <w:pPr>
      <w:pStyle w:val="Footer"/>
      <w:framePr w:wrap="around" w:vAnchor="text" w:hAnchor="margin" w:xAlign="right" w:y="1"/>
      <w:rPr>
        <w:rStyle w:val="PageNumber"/>
        <w:rFonts w:ascii="Calibri" w:hAnsi="Calibri"/>
        <w:sz w:val="22"/>
        <w:szCs w:val="22"/>
      </w:rPr>
    </w:pPr>
    <w:r w:rsidRPr="00626696">
      <w:rPr>
        <w:rStyle w:val="PageNumber"/>
        <w:rFonts w:ascii="Calibri" w:hAnsi="Calibri"/>
        <w:sz w:val="22"/>
        <w:szCs w:val="22"/>
      </w:rPr>
      <w:fldChar w:fldCharType="begin"/>
    </w:r>
    <w:r w:rsidRPr="00626696">
      <w:rPr>
        <w:rStyle w:val="PageNumber"/>
        <w:rFonts w:ascii="Calibri" w:hAnsi="Calibri"/>
        <w:sz w:val="22"/>
        <w:szCs w:val="22"/>
      </w:rPr>
      <w:instrText xml:space="preserve">PAGE  </w:instrText>
    </w:r>
    <w:r w:rsidRPr="00626696">
      <w:rPr>
        <w:rStyle w:val="PageNumber"/>
        <w:rFonts w:ascii="Calibri" w:hAnsi="Calibri"/>
        <w:sz w:val="22"/>
        <w:szCs w:val="22"/>
      </w:rPr>
      <w:fldChar w:fldCharType="separate"/>
    </w:r>
    <w:r w:rsidR="00B52C5F">
      <w:rPr>
        <w:rStyle w:val="PageNumber"/>
        <w:rFonts w:ascii="Calibri" w:hAnsi="Calibri"/>
        <w:noProof/>
        <w:sz w:val="22"/>
        <w:szCs w:val="22"/>
      </w:rPr>
      <w:t>1</w:t>
    </w:r>
    <w:r w:rsidRPr="00626696">
      <w:rPr>
        <w:rStyle w:val="PageNumber"/>
        <w:rFonts w:ascii="Calibri" w:hAnsi="Calibri"/>
        <w:sz w:val="22"/>
        <w:szCs w:val="22"/>
      </w:rPr>
      <w:fldChar w:fldCharType="end"/>
    </w:r>
  </w:p>
  <w:p w:rsidR="002E0665" w:rsidRDefault="002E0665" w:rsidP="00CD4A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CD" w:rsidRDefault="001E5ECD" w:rsidP="00CD4AA4">
      <w:pPr>
        <w:spacing w:after="0" w:line="240" w:lineRule="auto"/>
      </w:pPr>
      <w:r>
        <w:separator/>
      </w:r>
    </w:p>
  </w:footnote>
  <w:footnote w:type="continuationSeparator" w:id="0">
    <w:p w:rsidR="001E5ECD" w:rsidRDefault="001E5ECD" w:rsidP="00CD4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96A8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837C4"/>
    <w:multiLevelType w:val="hybridMultilevel"/>
    <w:tmpl w:val="A1E2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533B"/>
    <w:multiLevelType w:val="hybridMultilevel"/>
    <w:tmpl w:val="6F5C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4A2866"/>
    <w:multiLevelType w:val="hybridMultilevel"/>
    <w:tmpl w:val="05B8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151C1"/>
    <w:multiLevelType w:val="hybridMultilevel"/>
    <w:tmpl w:val="4034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3559D"/>
    <w:multiLevelType w:val="hybridMultilevel"/>
    <w:tmpl w:val="0C80FF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F4341E"/>
    <w:multiLevelType w:val="hybridMultilevel"/>
    <w:tmpl w:val="4DEE04F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nsid w:val="115A52AB"/>
    <w:multiLevelType w:val="hybridMultilevel"/>
    <w:tmpl w:val="5622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63D28"/>
    <w:multiLevelType w:val="hybridMultilevel"/>
    <w:tmpl w:val="D120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402CE7"/>
    <w:multiLevelType w:val="hybridMultilevel"/>
    <w:tmpl w:val="8BF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D22ED"/>
    <w:multiLevelType w:val="hybridMultilevel"/>
    <w:tmpl w:val="2DF0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F6791C"/>
    <w:multiLevelType w:val="hybridMultilevel"/>
    <w:tmpl w:val="E9DE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B5140F"/>
    <w:multiLevelType w:val="hybridMultilevel"/>
    <w:tmpl w:val="C76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117925"/>
    <w:multiLevelType w:val="hybridMultilevel"/>
    <w:tmpl w:val="BD68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95A52"/>
    <w:multiLevelType w:val="hybridMultilevel"/>
    <w:tmpl w:val="7804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C7ECC"/>
    <w:multiLevelType w:val="hybridMultilevel"/>
    <w:tmpl w:val="6A72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6575EF"/>
    <w:multiLevelType w:val="hybridMultilevel"/>
    <w:tmpl w:val="3E80138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nsid w:val="29CA645D"/>
    <w:multiLevelType w:val="hybridMultilevel"/>
    <w:tmpl w:val="0046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D3593E"/>
    <w:multiLevelType w:val="hybridMultilevel"/>
    <w:tmpl w:val="C4C0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ED3E79"/>
    <w:multiLevelType w:val="hybridMultilevel"/>
    <w:tmpl w:val="B324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722476"/>
    <w:multiLevelType w:val="hybridMultilevel"/>
    <w:tmpl w:val="04E07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06E2E43"/>
    <w:multiLevelType w:val="hybridMultilevel"/>
    <w:tmpl w:val="D6DE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AD37DA"/>
    <w:multiLevelType w:val="hybridMultilevel"/>
    <w:tmpl w:val="E286B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9105CCD"/>
    <w:multiLevelType w:val="hybridMultilevel"/>
    <w:tmpl w:val="D2A2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310647"/>
    <w:multiLevelType w:val="hybridMultilevel"/>
    <w:tmpl w:val="06DA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66D3D"/>
    <w:multiLevelType w:val="hybridMultilevel"/>
    <w:tmpl w:val="3E00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B5155F"/>
    <w:multiLevelType w:val="hybridMultilevel"/>
    <w:tmpl w:val="C276D18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48DA1A15"/>
    <w:multiLevelType w:val="hybridMultilevel"/>
    <w:tmpl w:val="8DD0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174A7A"/>
    <w:multiLevelType w:val="hybridMultilevel"/>
    <w:tmpl w:val="EFF4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99138A"/>
    <w:multiLevelType w:val="hybridMultilevel"/>
    <w:tmpl w:val="BB44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1B0BB2"/>
    <w:multiLevelType w:val="hybridMultilevel"/>
    <w:tmpl w:val="DF20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63465A"/>
    <w:multiLevelType w:val="hybridMultilevel"/>
    <w:tmpl w:val="3B2C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BB6951"/>
    <w:multiLevelType w:val="hybridMultilevel"/>
    <w:tmpl w:val="11203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2D7310"/>
    <w:multiLevelType w:val="hybridMultilevel"/>
    <w:tmpl w:val="140A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C936ED"/>
    <w:multiLevelType w:val="hybridMultilevel"/>
    <w:tmpl w:val="AC22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390E21"/>
    <w:multiLevelType w:val="hybridMultilevel"/>
    <w:tmpl w:val="767E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014FB8"/>
    <w:multiLevelType w:val="hybridMultilevel"/>
    <w:tmpl w:val="29F2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8C46A8"/>
    <w:multiLevelType w:val="hybridMultilevel"/>
    <w:tmpl w:val="804C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0C40EE"/>
    <w:multiLevelType w:val="hybridMultilevel"/>
    <w:tmpl w:val="487C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4037DA"/>
    <w:multiLevelType w:val="hybridMultilevel"/>
    <w:tmpl w:val="ACD0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8E34CF"/>
    <w:multiLevelType w:val="hybridMultilevel"/>
    <w:tmpl w:val="2C6E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835F97"/>
    <w:multiLevelType w:val="hybridMultilevel"/>
    <w:tmpl w:val="CE1A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7B6921"/>
    <w:multiLevelType w:val="hybridMultilevel"/>
    <w:tmpl w:val="B180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1B49C6"/>
    <w:multiLevelType w:val="hybridMultilevel"/>
    <w:tmpl w:val="C696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6D1EB9"/>
    <w:multiLevelType w:val="hybridMultilevel"/>
    <w:tmpl w:val="0A6E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FA1939"/>
    <w:multiLevelType w:val="hybridMultilevel"/>
    <w:tmpl w:val="CC28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D50796"/>
    <w:multiLevelType w:val="hybridMultilevel"/>
    <w:tmpl w:val="7DD4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D520FF"/>
    <w:multiLevelType w:val="hybridMultilevel"/>
    <w:tmpl w:val="C39A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E803F8"/>
    <w:multiLevelType w:val="hybridMultilevel"/>
    <w:tmpl w:val="044E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6"/>
  </w:num>
  <w:num w:numId="4">
    <w:abstractNumId w:val="32"/>
  </w:num>
  <w:num w:numId="5">
    <w:abstractNumId w:val="1"/>
  </w:num>
  <w:num w:numId="6">
    <w:abstractNumId w:val="17"/>
  </w:num>
  <w:num w:numId="7">
    <w:abstractNumId w:val="40"/>
  </w:num>
  <w:num w:numId="8">
    <w:abstractNumId w:val="30"/>
  </w:num>
  <w:num w:numId="9">
    <w:abstractNumId w:val="38"/>
  </w:num>
  <w:num w:numId="10">
    <w:abstractNumId w:val="13"/>
  </w:num>
  <w:num w:numId="11">
    <w:abstractNumId w:val="19"/>
  </w:num>
  <w:num w:numId="12">
    <w:abstractNumId w:val="43"/>
  </w:num>
  <w:num w:numId="13">
    <w:abstractNumId w:val="24"/>
  </w:num>
  <w:num w:numId="14">
    <w:abstractNumId w:val="35"/>
  </w:num>
  <w:num w:numId="15">
    <w:abstractNumId w:val="23"/>
  </w:num>
  <w:num w:numId="16">
    <w:abstractNumId w:val="21"/>
  </w:num>
  <w:num w:numId="17">
    <w:abstractNumId w:val="12"/>
  </w:num>
  <w:num w:numId="18">
    <w:abstractNumId w:val="47"/>
  </w:num>
  <w:num w:numId="19">
    <w:abstractNumId w:val="6"/>
  </w:num>
  <w:num w:numId="20">
    <w:abstractNumId w:val="8"/>
  </w:num>
  <w:num w:numId="21">
    <w:abstractNumId w:val="10"/>
  </w:num>
  <w:num w:numId="22">
    <w:abstractNumId w:val="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1"/>
  </w:num>
  <w:num w:numId="26">
    <w:abstractNumId w:val="48"/>
  </w:num>
  <w:num w:numId="27">
    <w:abstractNumId w:val="45"/>
  </w:num>
  <w:num w:numId="28">
    <w:abstractNumId w:val="0"/>
  </w:num>
  <w:num w:numId="29">
    <w:abstractNumId w:val="4"/>
  </w:num>
  <w:num w:numId="30">
    <w:abstractNumId w:val="46"/>
  </w:num>
  <w:num w:numId="31">
    <w:abstractNumId w:val="33"/>
  </w:num>
  <w:num w:numId="32">
    <w:abstractNumId w:val="18"/>
  </w:num>
  <w:num w:numId="33">
    <w:abstractNumId w:val="36"/>
  </w:num>
  <w:num w:numId="34">
    <w:abstractNumId w:val="39"/>
  </w:num>
  <w:num w:numId="35">
    <w:abstractNumId w:val="29"/>
  </w:num>
  <w:num w:numId="36">
    <w:abstractNumId w:val="44"/>
  </w:num>
  <w:num w:numId="37">
    <w:abstractNumId w:val="9"/>
  </w:num>
  <w:num w:numId="38">
    <w:abstractNumId w:val="34"/>
  </w:num>
  <w:num w:numId="39">
    <w:abstractNumId w:val="7"/>
  </w:num>
  <w:num w:numId="40">
    <w:abstractNumId w:val="31"/>
  </w:num>
  <w:num w:numId="41">
    <w:abstractNumId w:val="3"/>
  </w:num>
  <w:num w:numId="42">
    <w:abstractNumId w:val="28"/>
  </w:num>
  <w:num w:numId="43">
    <w:abstractNumId w:val="37"/>
  </w:num>
  <w:num w:numId="44">
    <w:abstractNumId w:val="14"/>
  </w:num>
  <w:num w:numId="45">
    <w:abstractNumId w:val="25"/>
  </w:num>
  <w:num w:numId="46">
    <w:abstractNumId w:val="27"/>
  </w:num>
  <w:num w:numId="47">
    <w:abstractNumId w:val="11"/>
  </w:num>
  <w:num w:numId="48">
    <w:abstractNumId w:val="5"/>
  </w:num>
  <w:num w:numId="49">
    <w:abstractNumId w:val="4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E7"/>
    <w:rsid w:val="00027368"/>
    <w:rsid w:val="00043AC2"/>
    <w:rsid w:val="00054551"/>
    <w:rsid w:val="0008565F"/>
    <w:rsid w:val="00091797"/>
    <w:rsid w:val="000C1801"/>
    <w:rsid w:val="000C7DA5"/>
    <w:rsid w:val="000D329A"/>
    <w:rsid w:val="000D7B99"/>
    <w:rsid w:val="000E1B30"/>
    <w:rsid w:val="000E5F0B"/>
    <w:rsid w:val="000E61EC"/>
    <w:rsid w:val="000E7145"/>
    <w:rsid w:val="000F5CE9"/>
    <w:rsid w:val="0012580C"/>
    <w:rsid w:val="00127F60"/>
    <w:rsid w:val="001341D7"/>
    <w:rsid w:val="00141D2F"/>
    <w:rsid w:val="00150A6B"/>
    <w:rsid w:val="00150DDA"/>
    <w:rsid w:val="00155D1D"/>
    <w:rsid w:val="0016226C"/>
    <w:rsid w:val="00165DAF"/>
    <w:rsid w:val="00175195"/>
    <w:rsid w:val="001816CD"/>
    <w:rsid w:val="001B5C44"/>
    <w:rsid w:val="001B78DD"/>
    <w:rsid w:val="001D5DC8"/>
    <w:rsid w:val="001E0A5E"/>
    <w:rsid w:val="001E579F"/>
    <w:rsid w:val="001E5ECD"/>
    <w:rsid w:val="00231C05"/>
    <w:rsid w:val="00234439"/>
    <w:rsid w:val="002375DD"/>
    <w:rsid w:val="002466FF"/>
    <w:rsid w:val="00273F7C"/>
    <w:rsid w:val="00280883"/>
    <w:rsid w:val="00292899"/>
    <w:rsid w:val="002B3142"/>
    <w:rsid w:val="002B65CB"/>
    <w:rsid w:val="002E0665"/>
    <w:rsid w:val="00317D0E"/>
    <w:rsid w:val="003444D4"/>
    <w:rsid w:val="00371D8F"/>
    <w:rsid w:val="00391087"/>
    <w:rsid w:val="00393940"/>
    <w:rsid w:val="003D17D0"/>
    <w:rsid w:val="003D6310"/>
    <w:rsid w:val="003D709E"/>
    <w:rsid w:val="003F5646"/>
    <w:rsid w:val="00407586"/>
    <w:rsid w:val="0041665E"/>
    <w:rsid w:val="00416AA2"/>
    <w:rsid w:val="00453041"/>
    <w:rsid w:val="0046576F"/>
    <w:rsid w:val="00466EE0"/>
    <w:rsid w:val="004911CA"/>
    <w:rsid w:val="00491568"/>
    <w:rsid w:val="00492642"/>
    <w:rsid w:val="004C014A"/>
    <w:rsid w:val="004F1374"/>
    <w:rsid w:val="004F2664"/>
    <w:rsid w:val="00501228"/>
    <w:rsid w:val="00503C4F"/>
    <w:rsid w:val="00536616"/>
    <w:rsid w:val="005510FE"/>
    <w:rsid w:val="005661F9"/>
    <w:rsid w:val="0059562D"/>
    <w:rsid w:val="005B3F4A"/>
    <w:rsid w:val="005B6F3D"/>
    <w:rsid w:val="005C3BAE"/>
    <w:rsid w:val="005C56A5"/>
    <w:rsid w:val="005D4927"/>
    <w:rsid w:val="005D6806"/>
    <w:rsid w:val="005E5A2E"/>
    <w:rsid w:val="005E79BC"/>
    <w:rsid w:val="005F3011"/>
    <w:rsid w:val="005F62CB"/>
    <w:rsid w:val="006121B4"/>
    <w:rsid w:val="00612318"/>
    <w:rsid w:val="006165F3"/>
    <w:rsid w:val="00626696"/>
    <w:rsid w:val="00631666"/>
    <w:rsid w:val="0064663F"/>
    <w:rsid w:val="00653E86"/>
    <w:rsid w:val="0065428E"/>
    <w:rsid w:val="00660BE3"/>
    <w:rsid w:val="00664C6D"/>
    <w:rsid w:val="0067370A"/>
    <w:rsid w:val="0067371F"/>
    <w:rsid w:val="00696F0A"/>
    <w:rsid w:val="006C32A0"/>
    <w:rsid w:val="006E4100"/>
    <w:rsid w:val="006E70D3"/>
    <w:rsid w:val="006F2F8E"/>
    <w:rsid w:val="007116EB"/>
    <w:rsid w:val="00712AE7"/>
    <w:rsid w:val="007208F0"/>
    <w:rsid w:val="007240F8"/>
    <w:rsid w:val="00726363"/>
    <w:rsid w:val="00734599"/>
    <w:rsid w:val="007351C9"/>
    <w:rsid w:val="00775475"/>
    <w:rsid w:val="00784006"/>
    <w:rsid w:val="0078482D"/>
    <w:rsid w:val="0079273C"/>
    <w:rsid w:val="00796564"/>
    <w:rsid w:val="00796D95"/>
    <w:rsid w:val="007C5706"/>
    <w:rsid w:val="007D2155"/>
    <w:rsid w:val="007D3F80"/>
    <w:rsid w:val="007E6BCC"/>
    <w:rsid w:val="007F3C65"/>
    <w:rsid w:val="007F49CB"/>
    <w:rsid w:val="007F66B7"/>
    <w:rsid w:val="0080413E"/>
    <w:rsid w:val="00814E3B"/>
    <w:rsid w:val="00821A7A"/>
    <w:rsid w:val="00823291"/>
    <w:rsid w:val="00823D29"/>
    <w:rsid w:val="008265CC"/>
    <w:rsid w:val="008376D2"/>
    <w:rsid w:val="0084153D"/>
    <w:rsid w:val="008578F9"/>
    <w:rsid w:val="00873B86"/>
    <w:rsid w:val="008A0203"/>
    <w:rsid w:val="008A6AFC"/>
    <w:rsid w:val="008B4895"/>
    <w:rsid w:val="008C118C"/>
    <w:rsid w:val="008D14B6"/>
    <w:rsid w:val="008D474A"/>
    <w:rsid w:val="008E1A71"/>
    <w:rsid w:val="008E2643"/>
    <w:rsid w:val="008E6BA1"/>
    <w:rsid w:val="008E6E22"/>
    <w:rsid w:val="008F416F"/>
    <w:rsid w:val="009021F3"/>
    <w:rsid w:val="0090480B"/>
    <w:rsid w:val="00905AA7"/>
    <w:rsid w:val="00932A03"/>
    <w:rsid w:val="009512E9"/>
    <w:rsid w:val="00952289"/>
    <w:rsid w:val="00962628"/>
    <w:rsid w:val="00966EDC"/>
    <w:rsid w:val="009921D0"/>
    <w:rsid w:val="00992FD5"/>
    <w:rsid w:val="009A2D8D"/>
    <w:rsid w:val="009A6A34"/>
    <w:rsid w:val="009B1F47"/>
    <w:rsid w:val="009C49EB"/>
    <w:rsid w:val="009E05D9"/>
    <w:rsid w:val="009F3BA8"/>
    <w:rsid w:val="00A11338"/>
    <w:rsid w:val="00A43F91"/>
    <w:rsid w:val="00A441D7"/>
    <w:rsid w:val="00A458C3"/>
    <w:rsid w:val="00A459B0"/>
    <w:rsid w:val="00A6671C"/>
    <w:rsid w:val="00AB20CA"/>
    <w:rsid w:val="00AC41E0"/>
    <w:rsid w:val="00AD71A2"/>
    <w:rsid w:val="00AF5C9D"/>
    <w:rsid w:val="00B0004B"/>
    <w:rsid w:val="00B07A78"/>
    <w:rsid w:val="00B23A3A"/>
    <w:rsid w:val="00B25595"/>
    <w:rsid w:val="00B26C47"/>
    <w:rsid w:val="00B26CA6"/>
    <w:rsid w:val="00B2740C"/>
    <w:rsid w:val="00B27C43"/>
    <w:rsid w:val="00B460CE"/>
    <w:rsid w:val="00B52C5F"/>
    <w:rsid w:val="00B5372A"/>
    <w:rsid w:val="00B805B0"/>
    <w:rsid w:val="00B8481C"/>
    <w:rsid w:val="00B84A32"/>
    <w:rsid w:val="00BA744A"/>
    <w:rsid w:val="00BB0A45"/>
    <w:rsid w:val="00BB413E"/>
    <w:rsid w:val="00BC43BA"/>
    <w:rsid w:val="00BD3DD0"/>
    <w:rsid w:val="00BE301B"/>
    <w:rsid w:val="00BF293F"/>
    <w:rsid w:val="00C10B99"/>
    <w:rsid w:val="00C23DAC"/>
    <w:rsid w:val="00C45B72"/>
    <w:rsid w:val="00C707C4"/>
    <w:rsid w:val="00C776CF"/>
    <w:rsid w:val="00C82802"/>
    <w:rsid w:val="00CA63F0"/>
    <w:rsid w:val="00CB0D3D"/>
    <w:rsid w:val="00CB15A6"/>
    <w:rsid w:val="00CC146F"/>
    <w:rsid w:val="00CC4AC8"/>
    <w:rsid w:val="00CD00DA"/>
    <w:rsid w:val="00CD4AA4"/>
    <w:rsid w:val="00CD5678"/>
    <w:rsid w:val="00CD6DEA"/>
    <w:rsid w:val="00CF02F5"/>
    <w:rsid w:val="00CF3E1B"/>
    <w:rsid w:val="00D22566"/>
    <w:rsid w:val="00D24722"/>
    <w:rsid w:val="00D40986"/>
    <w:rsid w:val="00D6153D"/>
    <w:rsid w:val="00D61816"/>
    <w:rsid w:val="00D62204"/>
    <w:rsid w:val="00D63296"/>
    <w:rsid w:val="00D739D5"/>
    <w:rsid w:val="00D75B1D"/>
    <w:rsid w:val="00D87498"/>
    <w:rsid w:val="00D905A1"/>
    <w:rsid w:val="00DB0B79"/>
    <w:rsid w:val="00DB2A1D"/>
    <w:rsid w:val="00DC7FC4"/>
    <w:rsid w:val="00DD45B4"/>
    <w:rsid w:val="00DF0AF1"/>
    <w:rsid w:val="00DF5C7E"/>
    <w:rsid w:val="00E106ED"/>
    <w:rsid w:val="00E467FF"/>
    <w:rsid w:val="00E47DA8"/>
    <w:rsid w:val="00E6114F"/>
    <w:rsid w:val="00E75098"/>
    <w:rsid w:val="00E8578D"/>
    <w:rsid w:val="00EA5102"/>
    <w:rsid w:val="00EE1281"/>
    <w:rsid w:val="00EE1DCD"/>
    <w:rsid w:val="00EE5605"/>
    <w:rsid w:val="00EF2EFB"/>
    <w:rsid w:val="00F06AA8"/>
    <w:rsid w:val="00F1222F"/>
    <w:rsid w:val="00F136CA"/>
    <w:rsid w:val="00F16D90"/>
    <w:rsid w:val="00F45542"/>
    <w:rsid w:val="00F713AB"/>
    <w:rsid w:val="00F87593"/>
    <w:rsid w:val="00FA0A2E"/>
    <w:rsid w:val="00FC48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12AE7"/>
    <w:pPr>
      <w:spacing w:line="240" w:lineRule="auto"/>
      <w:ind w:left="720"/>
      <w:contextualSpacing/>
    </w:pPr>
    <w:rPr>
      <w:rFonts w:ascii="Frutiger 55 Roman" w:eastAsia="Cambria" w:hAnsi="Frutiger 55 Roman"/>
      <w:color w:val="211D1E"/>
      <w:w w:val="50"/>
      <w:sz w:val="20"/>
      <w:szCs w:val="20"/>
    </w:rPr>
  </w:style>
  <w:style w:type="paragraph" w:styleId="Header">
    <w:name w:val="header"/>
    <w:basedOn w:val="Normal"/>
    <w:link w:val="HeaderChar"/>
    <w:rsid w:val="00712AE7"/>
    <w:pPr>
      <w:tabs>
        <w:tab w:val="center" w:pos="4153"/>
        <w:tab w:val="right" w:pos="8306"/>
      </w:tabs>
      <w:spacing w:after="0" w:line="240" w:lineRule="auto"/>
    </w:pPr>
    <w:rPr>
      <w:rFonts w:ascii="Times New Roman" w:eastAsia="Times New Roman" w:hAnsi="Times New Roman"/>
      <w:sz w:val="24"/>
      <w:szCs w:val="24"/>
      <w:lang w:val="x-none"/>
    </w:rPr>
  </w:style>
  <w:style w:type="character" w:customStyle="1" w:styleId="HeaderChar">
    <w:name w:val="Header Char"/>
    <w:link w:val="Header"/>
    <w:rsid w:val="00712AE7"/>
    <w:rPr>
      <w:rFonts w:ascii="Times New Roman" w:eastAsia="Times New Roman" w:hAnsi="Times New Roman"/>
      <w:sz w:val="24"/>
      <w:szCs w:val="24"/>
      <w:lang w:eastAsia="en-US"/>
    </w:rPr>
  </w:style>
  <w:style w:type="paragraph" w:styleId="Footer">
    <w:name w:val="footer"/>
    <w:basedOn w:val="Normal"/>
    <w:link w:val="FooterChar"/>
    <w:uiPriority w:val="99"/>
    <w:rsid w:val="00712AE7"/>
    <w:pPr>
      <w:tabs>
        <w:tab w:val="center" w:pos="4153"/>
        <w:tab w:val="right" w:pos="8306"/>
      </w:tabs>
      <w:spacing w:after="0" w:line="240" w:lineRule="auto"/>
    </w:pPr>
    <w:rPr>
      <w:rFonts w:ascii="Times New Roman" w:eastAsia="Times New Roman" w:hAnsi="Times New Roman"/>
      <w:sz w:val="24"/>
      <w:szCs w:val="24"/>
      <w:lang w:val="x-none"/>
    </w:rPr>
  </w:style>
  <w:style w:type="character" w:customStyle="1" w:styleId="FooterChar">
    <w:name w:val="Footer Char"/>
    <w:link w:val="Footer"/>
    <w:uiPriority w:val="99"/>
    <w:rsid w:val="00712AE7"/>
    <w:rPr>
      <w:rFonts w:ascii="Times New Roman" w:eastAsia="Times New Roman" w:hAnsi="Times New Roman"/>
      <w:sz w:val="24"/>
      <w:szCs w:val="24"/>
      <w:lang w:eastAsia="en-US"/>
    </w:rPr>
  </w:style>
  <w:style w:type="character" w:styleId="PageNumber">
    <w:name w:val="page number"/>
    <w:rsid w:val="00712AE7"/>
  </w:style>
  <w:style w:type="paragraph" w:styleId="BalloonText">
    <w:name w:val="Balloon Text"/>
    <w:basedOn w:val="Normal"/>
    <w:link w:val="BalloonTextChar"/>
    <w:rsid w:val="00712AE7"/>
    <w:pPr>
      <w:spacing w:after="0" w:line="240" w:lineRule="auto"/>
    </w:pPr>
    <w:rPr>
      <w:rFonts w:ascii="Tahoma" w:eastAsia="Times New Roman" w:hAnsi="Tahoma"/>
      <w:sz w:val="16"/>
      <w:szCs w:val="16"/>
      <w:lang w:val="x-none"/>
    </w:rPr>
  </w:style>
  <w:style w:type="character" w:customStyle="1" w:styleId="BalloonTextChar">
    <w:name w:val="Balloon Text Char"/>
    <w:link w:val="BalloonText"/>
    <w:rsid w:val="00712AE7"/>
    <w:rPr>
      <w:rFonts w:ascii="Tahoma" w:eastAsia="Times New Roman" w:hAnsi="Tahoma" w:cs="Tahoma"/>
      <w:sz w:val="16"/>
      <w:szCs w:val="16"/>
      <w:lang w:eastAsia="en-US"/>
    </w:rPr>
  </w:style>
  <w:style w:type="table" w:styleId="TableGrid">
    <w:name w:val="Table Grid"/>
    <w:basedOn w:val="TableNormal"/>
    <w:rsid w:val="00712AE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12AE7"/>
    <w:pPr>
      <w:spacing w:after="0" w:line="240" w:lineRule="auto"/>
    </w:pPr>
    <w:rPr>
      <w:rFonts w:ascii="Consolas" w:hAnsi="Consolas"/>
      <w:sz w:val="21"/>
      <w:szCs w:val="21"/>
      <w:lang w:val="en-US"/>
    </w:rPr>
  </w:style>
  <w:style w:type="character" w:customStyle="1" w:styleId="PlainTextChar">
    <w:name w:val="Plain Text Char"/>
    <w:link w:val="PlainText"/>
    <w:uiPriority w:val="99"/>
    <w:rsid w:val="00712AE7"/>
    <w:rPr>
      <w:rFonts w:ascii="Consolas" w:hAnsi="Consolas"/>
      <w:sz w:val="21"/>
      <w:szCs w:val="21"/>
      <w:lang w:val="en-US" w:eastAsia="en-US"/>
    </w:rPr>
  </w:style>
  <w:style w:type="character" w:styleId="Hyperlink">
    <w:name w:val="Hyperlink"/>
    <w:uiPriority w:val="99"/>
    <w:unhideWhenUsed/>
    <w:rsid w:val="00712AE7"/>
    <w:rPr>
      <w:color w:val="0000FF"/>
      <w:u w:val="single"/>
    </w:rPr>
  </w:style>
  <w:style w:type="paragraph" w:styleId="ListParagraph">
    <w:name w:val="List Paragraph"/>
    <w:basedOn w:val="Normal"/>
    <w:uiPriority w:val="34"/>
    <w:qFormat/>
    <w:rsid w:val="00D40986"/>
    <w:pPr>
      <w:ind w:left="720"/>
      <w:contextualSpacing/>
    </w:pPr>
  </w:style>
  <w:style w:type="paragraph" w:customStyle="1" w:styleId="Default">
    <w:name w:val="Default"/>
    <w:rsid w:val="008E6BA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12AE7"/>
    <w:pPr>
      <w:spacing w:line="240" w:lineRule="auto"/>
      <w:ind w:left="720"/>
      <w:contextualSpacing/>
    </w:pPr>
    <w:rPr>
      <w:rFonts w:ascii="Frutiger 55 Roman" w:eastAsia="Cambria" w:hAnsi="Frutiger 55 Roman"/>
      <w:color w:val="211D1E"/>
      <w:w w:val="50"/>
      <w:sz w:val="20"/>
      <w:szCs w:val="20"/>
    </w:rPr>
  </w:style>
  <w:style w:type="paragraph" w:styleId="Header">
    <w:name w:val="header"/>
    <w:basedOn w:val="Normal"/>
    <w:link w:val="HeaderChar"/>
    <w:rsid w:val="00712AE7"/>
    <w:pPr>
      <w:tabs>
        <w:tab w:val="center" w:pos="4153"/>
        <w:tab w:val="right" w:pos="8306"/>
      </w:tabs>
      <w:spacing w:after="0" w:line="240" w:lineRule="auto"/>
    </w:pPr>
    <w:rPr>
      <w:rFonts w:ascii="Times New Roman" w:eastAsia="Times New Roman" w:hAnsi="Times New Roman"/>
      <w:sz w:val="24"/>
      <w:szCs w:val="24"/>
      <w:lang w:val="x-none"/>
    </w:rPr>
  </w:style>
  <w:style w:type="character" w:customStyle="1" w:styleId="HeaderChar">
    <w:name w:val="Header Char"/>
    <w:link w:val="Header"/>
    <w:rsid w:val="00712AE7"/>
    <w:rPr>
      <w:rFonts w:ascii="Times New Roman" w:eastAsia="Times New Roman" w:hAnsi="Times New Roman"/>
      <w:sz w:val="24"/>
      <w:szCs w:val="24"/>
      <w:lang w:eastAsia="en-US"/>
    </w:rPr>
  </w:style>
  <w:style w:type="paragraph" w:styleId="Footer">
    <w:name w:val="footer"/>
    <w:basedOn w:val="Normal"/>
    <w:link w:val="FooterChar"/>
    <w:uiPriority w:val="99"/>
    <w:rsid w:val="00712AE7"/>
    <w:pPr>
      <w:tabs>
        <w:tab w:val="center" w:pos="4153"/>
        <w:tab w:val="right" w:pos="8306"/>
      </w:tabs>
      <w:spacing w:after="0" w:line="240" w:lineRule="auto"/>
    </w:pPr>
    <w:rPr>
      <w:rFonts w:ascii="Times New Roman" w:eastAsia="Times New Roman" w:hAnsi="Times New Roman"/>
      <w:sz w:val="24"/>
      <w:szCs w:val="24"/>
      <w:lang w:val="x-none"/>
    </w:rPr>
  </w:style>
  <w:style w:type="character" w:customStyle="1" w:styleId="FooterChar">
    <w:name w:val="Footer Char"/>
    <w:link w:val="Footer"/>
    <w:uiPriority w:val="99"/>
    <w:rsid w:val="00712AE7"/>
    <w:rPr>
      <w:rFonts w:ascii="Times New Roman" w:eastAsia="Times New Roman" w:hAnsi="Times New Roman"/>
      <w:sz w:val="24"/>
      <w:szCs w:val="24"/>
      <w:lang w:eastAsia="en-US"/>
    </w:rPr>
  </w:style>
  <w:style w:type="character" w:styleId="PageNumber">
    <w:name w:val="page number"/>
    <w:rsid w:val="00712AE7"/>
  </w:style>
  <w:style w:type="paragraph" w:styleId="BalloonText">
    <w:name w:val="Balloon Text"/>
    <w:basedOn w:val="Normal"/>
    <w:link w:val="BalloonTextChar"/>
    <w:rsid w:val="00712AE7"/>
    <w:pPr>
      <w:spacing w:after="0" w:line="240" w:lineRule="auto"/>
    </w:pPr>
    <w:rPr>
      <w:rFonts w:ascii="Tahoma" w:eastAsia="Times New Roman" w:hAnsi="Tahoma"/>
      <w:sz w:val="16"/>
      <w:szCs w:val="16"/>
      <w:lang w:val="x-none"/>
    </w:rPr>
  </w:style>
  <w:style w:type="character" w:customStyle="1" w:styleId="BalloonTextChar">
    <w:name w:val="Balloon Text Char"/>
    <w:link w:val="BalloonText"/>
    <w:rsid w:val="00712AE7"/>
    <w:rPr>
      <w:rFonts w:ascii="Tahoma" w:eastAsia="Times New Roman" w:hAnsi="Tahoma" w:cs="Tahoma"/>
      <w:sz w:val="16"/>
      <w:szCs w:val="16"/>
      <w:lang w:eastAsia="en-US"/>
    </w:rPr>
  </w:style>
  <w:style w:type="table" w:styleId="TableGrid">
    <w:name w:val="Table Grid"/>
    <w:basedOn w:val="TableNormal"/>
    <w:rsid w:val="00712AE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12AE7"/>
    <w:pPr>
      <w:spacing w:after="0" w:line="240" w:lineRule="auto"/>
    </w:pPr>
    <w:rPr>
      <w:rFonts w:ascii="Consolas" w:hAnsi="Consolas"/>
      <w:sz w:val="21"/>
      <w:szCs w:val="21"/>
      <w:lang w:val="en-US"/>
    </w:rPr>
  </w:style>
  <w:style w:type="character" w:customStyle="1" w:styleId="PlainTextChar">
    <w:name w:val="Plain Text Char"/>
    <w:link w:val="PlainText"/>
    <w:uiPriority w:val="99"/>
    <w:rsid w:val="00712AE7"/>
    <w:rPr>
      <w:rFonts w:ascii="Consolas" w:hAnsi="Consolas"/>
      <w:sz w:val="21"/>
      <w:szCs w:val="21"/>
      <w:lang w:val="en-US" w:eastAsia="en-US"/>
    </w:rPr>
  </w:style>
  <w:style w:type="character" w:styleId="Hyperlink">
    <w:name w:val="Hyperlink"/>
    <w:uiPriority w:val="99"/>
    <w:unhideWhenUsed/>
    <w:rsid w:val="00712AE7"/>
    <w:rPr>
      <w:color w:val="0000FF"/>
      <w:u w:val="single"/>
    </w:rPr>
  </w:style>
  <w:style w:type="paragraph" w:styleId="ListParagraph">
    <w:name w:val="List Paragraph"/>
    <w:basedOn w:val="Normal"/>
    <w:uiPriority w:val="34"/>
    <w:qFormat/>
    <w:rsid w:val="00D40986"/>
    <w:pPr>
      <w:ind w:left="720"/>
      <w:contextualSpacing/>
    </w:pPr>
  </w:style>
  <w:style w:type="paragraph" w:customStyle="1" w:styleId="Default">
    <w:name w:val="Default"/>
    <w:rsid w:val="008E6B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9316">
      <w:bodyDiv w:val="1"/>
      <w:marLeft w:val="0"/>
      <w:marRight w:val="0"/>
      <w:marTop w:val="0"/>
      <w:marBottom w:val="0"/>
      <w:divBdr>
        <w:top w:val="none" w:sz="0" w:space="0" w:color="auto"/>
        <w:left w:val="none" w:sz="0" w:space="0" w:color="auto"/>
        <w:bottom w:val="none" w:sz="0" w:space="0" w:color="auto"/>
        <w:right w:val="none" w:sz="0" w:space="0" w:color="auto"/>
      </w:divBdr>
    </w:div>
    <w:div w:id="902837055">
      <w:bodyDiv w:val="1"/>
      <w:marLeft w:val="0"/>
      <w:marRight w:val="0"/>
      <w:marTop w:val="0"/>
      <w:marBottom w:val="0"/>
      <w:divBdr>
        <w:top w:val="none" w:sz="0" w:space="0" w:color="auto"/>
        <w:left w:val="none" w:sz="0" w:space="0" w:color="auto"/>
        <w:bottom w:val="none" w:sz="0" w:space="0" w:color="auto"/>
        <w:right w:val="none" w:sz="0" w:space="0" w:color="auto"/>
      </w:divBdr>
    </w:div>
    <w:div w:id="1157770503">
      <w:bodyDiv w:val="1"/>
      <w:marLeft w:val="0"/>
      <w:marRight w:val="0"/>
      <w:marTop w:val="0"/>
      <w:marBottom w:val="0"/>
      <w:divBdr>
        <w:top w:val="none" w:sz="0" w:space="0" w:color="auto"/>
        <w:left w:val="none" w:sz="0" w:space="0" w:color="auto"/>
        <w:bottom w:val="none" w:sz="0" w:space="0" w:color="auto"/>
        <w:right w:val="none" w:sz="0" w:space="0" w:color="auto"/>
      </w:divBdr>
    </w:div>
    <w:div w:id="172348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image" Target="media/image2.png"/><Relationship Id="rId47" Type="http://schemas.openxmlformats.org/officeDocument/2006/relationships/image" Target="media/image7.pn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footer" Target="footer1.xml"/><Relationship Id="rId45"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image" Target="media/image3.png"/><Relationship Id="rId48" Type="http://schemas.openxmlformats.org/officeDocument/2006/relationships/image" Target="media/image8.png"/><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Diversity%20Reports%20Jan%202016\Sept%202015%20Staff%20List%20Source%20Data%20V2.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Diversity%20Reports%20Jan%202016\Vacancy%20Analysis%20by%20Staff%20Group.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Diversity%20Reports%20Jan%202016\Vacancy%20Analysis%20by%20Staff%20Group.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Diversity%20Reports%20Jan%202016\Sept%202015%20Staff%20List%20Source%20Data%20V2.xls"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Diversity%20Reports%20Jan%202016\Sept%202015%20Staff%20List%20Source%20Data%20V2.xls"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PSED%20Annual%20Equality%20Reports\Diversity%20Reports%20Jan%202016\Employee%20Relations%20Analysis.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PSED%20Annual%20Equality%20Reports\Diversity%20Reports%20Jan%202016\Sept%202015%20Staff%20List%20Source%20Data%20V2.xls"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PSED%20Annual%20Equality%20Reports\Diversity%20Reports%20Jan%202016\NHS%20Jobs%20Vacancy%20Analysis.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PSED%20Annual%20Equality%20Reports\Diversity%20Reports%20Jan%202016\Employee%20Relations%20Analysis.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PSED%20Annual%20Equality%20Reports\Diversity%20Reports%20Jan%202016\Sept%202015%20Staff%20List%20Source%20Data%20V2.xls"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PSED%20Annual%20Equality%20Reports\Diversity%20Reports%20Jan%202016\Sept%202015%20Staff%20List%20Source%20Data%20V2.xls"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Diversity%20Reports%20Jan%202016\Sept%202015%20Staff%20List%20Source%20Data%20V2.xls"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PSED%20Annual%20Equality%20Reports\Diversity%20Reports%20Jan%202016\NHS%20Jobs%20Vacancy%20Analysis.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PSED%20Annual%20Equality%20Reports\Diversity%20Reports%20Jan%202016\Sept%202015%20Staff%20List%20Source%20Data%20V2.xls"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PSED%20Annual%20Equality%20Reports\Diversity%20Reports%20Jan%202016\Sept%202015%20Staff%20List%20Source%20Data%20V2.xls"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PSED%20Annual%20Equality%20Reports\Diversity%20Reports%20Jan%202016\Sept%202015%20Staff%20List%20Source%20Data%20V2.xls"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Diversity%20Reports%20Jan%202015\Recruitment%20Data.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PSED%20Annual%20Equality%20Reports\Diversity%20Reports%20Jan%202016\Sept%202015%20Staff%20List%20Source%20Data%20V2.xls"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PSED%20Annual%20Equality%20Reports\Diversity%20Reports%20Jan%202016\Sept%202015%20Staff%20List%20Source%20Data%20V2.xls"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PSED%20Annual%20Equality%20Reports\Diversity%20Reports%20Jan%202016\Sept%202015%20Staff%20List%20Source%20Data%20V2.xls"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PSED%20Annual%20Equality%20Reports\Diversity%20Reports%20Jan%202016\Sept%202015%20Staff%20List%20Source%20Data%20V2.xls"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PSED%20Annual%20Equality%20Reports\Diversity%20Reports%20Jan%202016\Sept%202015%20Staff%20List%20Source%20Data%20V2.xls" TargetMode="External"/><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Diversity%20Reports%20Jan%202016\NHS%20Jobs%20Vacancy%20Analysis.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PSED%20Annual%20Equality%20Reports\Diversity%20Reports%20Jan%202016\Sept%202015%20Staff%20List%20Source%20Data%20V2.xls" TargetMode="External"/><Relationship Id="rId1" Type="http://schemas.openxmlformats.org/officeDocument/2006/relationships/themeOverride" Target="../theme/themeOverride30.xml"/></Relationships>
</file>

<file path=word/charts/_rels/chart4.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Diversity%20Reports%20Jan%202016\Vacancy%20Analysis%20by%20Staff%20Group.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Diversity%20Reports%20Jan%202016\Vacancy%20Analysis%20by%20Staff%20Group.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Diversity%20Reports%20Jan%202016\Vacancy%20Analysis%20by%20Staff%20Group.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Diversity%20Reports%20Jan%202016\Vacancy%20Analysis%20by%20Staff%20Group.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Diversity%20Reports%20Jan%202016\Vacancy%20Analysis%20by%20Staff%20Group.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Birmb94s\Emp_Srvs\Internal%20Documents\PRISM\Equality%20and%20Diversity\Diversity%20Reports%20Jan%202016\Vacancy%20Analysis%20by%20Staff%20Group.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a:t>
            </a:r>
            <a:r>
              <a:rPr lang="en-GB" sz="1200" baseline="0"/>
              <a:t> 1 - </a:t>
            </a:r>
            <a:r>
              <a:rPr lang="en-GB" sz="1200"/>
              <a:t>Ethnicity</a:t>
            </a:r>
            <a:r>
              <a:rPr lang="en-GB" sz="1200" baseline="0"/>
              <a:t> Profile by Site and Local Population</a:t>
            </a:r>
            <a:endParaRPr lang="en-GB" sz="1200"/>
          </a:p>
        </c:rich>
      </c:tx>
      <c:overlay val="0"/>
    </c:title>
    <c:autoTitleDeleted val="0"/>
    <c:plotArea>
      <c:layout/>
      <c:barChart>
        <c:barDir val="col"/>
        <c:grouping val="clustered"/>
        <c:varyColors val="0"/>
        <c:ser>
          <c:idx val="0"/>
          <c:order val="0"/>
          <c:tx>
            <c:strRef>
              <c:f>'Trust Population'!$C$149</c:f>
              <c:strCache>
                <c:ptCount val="1"/>
                <c:pt idx="0">
                  <c:v>BME (workforce)</c:v>
                </c:pt>
              </c:strCache>
            </c:strRef>
          </c:tx>
          <c:invertIfNegative val="0"/>
          <c:cat>
            <c:strRef>
              <c:f>'Trust Population'!$B$150:$B$152</c:f>
              <c:strCache>
                <c:ptCount val="3"/>
                <c:pt idx="0">
                  <c:v>Heartlands</c:v>
                </c:pt>
                <c:pt idx="1">
                  <c:v>Good Hope</c:v>
                </c:pt>
                <c:pt idx="2">
                  <c:v>Solihull</c:v>
                </c:pt>
              </c:strCache>
            </c:strRef>
          </c:cat>
          <c:val>
            <c:numRef>
              <c:f>'Trust Population'!$C$150:$C$152</c:f>
              <c:numCache>
                <c:formatCode>0.00%</c:formatCode>
                <c:ptCount val="3"/>
                <c:pt idx="0">
                  <c:v>0.31321084864391951</c:v>
                </c:pt>
                <c:pt idx="1">
                  <c:v>0.21804170444242973</c:v>
                </c:pt>
                <c:pt idx="2">
                  <c:v>0.20357803824799506</c:v>
                </c:pt>
              </c:numCache>
            </c:numRef>
          </c:val>
        </c:ser>
        <c:ser>
          <c:idx val="1"/>
          <c:order val="1"/>
          <c:tx>
            <c:strRef>
              <c:f>'Trust Population'!$D$149</c:f>
              <c:strCache>
                <c:ptCount val="1"/>
                <c:pt idx="0">
                  <c:v>White (workforce)</c:v>
                </c:pt>
              </c:strCache>
            </c:strRef>
          </c:tx>
          <c:invertIfNegative val="0"/>
          <c:cat>
            <c:strRef>
              <c:f>'Trust Population'!$B$150:$B$152</c:f>
              <c:strCache>
                <c:ptCount val="3"/>
                <c:pt idx="0">
                  <c:v>Heartlands</c:v>
                </c:pt>
                <c:pt idx="1">
                  <c:v>Good Hope</c:v>
                </c:pt>
                <c:pt idx="2">
                  <c:v>Solihull</c:v>
                </c:pt>
              </c:strCache>
            </c:strRef>
          </c:cat>
          <c:val>
            <c:numRef>
              <c:f>'Trust Population'!$D$150:$D$152</c:f>
              <c:numCache>
                <c:formatCode>0.00%</c:formatCode>
                <c:ptCount val="3"/>
                <c:pt idx="0">
                  <c:v>0.68678915135608054</c:v>
                </c:pt>
                <c:pt idx="1">
                  <c:v>0.78195829555757024</c:v>
                </c:pt>
                <c:pt idx="2">
                  <c:v>0.79642196175200497</c:v>
                </c:pt>
              </c:numCache>
            </c:numRef>
          </c:val>
        </c:ser>
        <c:ser>
          <c:idx val="2"/>
          <c:order val="2"/>
          <c:tx>
            <c:strRef>
              <c:f>'Trust Population'!$E$149</c:f>
              <c:strCache>
                <c:ptCount val="1"/>
                <c:pt idx="0">
                  <c:v>BME (Pop'n)</c:v>
                </c:pt>
              </c:strCache>
            </c:strRef>
          </c:tx>
          <c:invertIfNegative val="0"/>
          <c:cat>
            <c:strRef>
              <c:f>'Trust Population'!$B$150:$B$152</c:f>
              <c:strCache>
                <c:ptCount val="3"/>
                <c:pt idx="0">
                  <c:v>Heartlands</c:v>
                </c:pt>
                <c:pt idx="1">
                  <c:v>Good Hope</c:v>
                </c:pt>
                <c:pt idx="2">
                  <c:v>Solihull</c:v>
                </c:pt>
              </c:strCache>
            </c:strRef>
          </c:cat>
          <c:val>
            <c:numRef>
              <c:f>'Trust Population'!$E$150:$E$152</c:f>
              <c:numCache>
                <c:formatCode>0.00%</c:formatCode>
                <c:ptCount val="3"/>
                <c:pt idx="0">
                  <c:v>0.52</c:v>
                </c:pt>
                <c:pt idx="1">
                  <c:v>0.18</c:v>
                </c:pt>
                <c:pt idx="2">
                  <c:v>0.11</c:v>
                </c:pt>
              </c:numCache>
            </c:numRef>
          </c:val>
        </c:ser>
        <c:ser>
          <c:idx val="3"/>
          <c:order val="3"/>
          <c:tx>
            <c:strRef>
              <c:f>'Trust Population'!$F$149</c:f>
              <c:strCache>
                <c:ptCount val="1"/>
                <c:pt idx="0">
                  <c:v>White (Pop'n)</c:v>
                </c:pt>
              </c:strCache>
            </c:strRef>
          </c:tx>
          <c:invertIfNegative val="0"/>
          <c:cat>
            <c:strRef>
              <c:f>'Trust Population'!$B$150:$B$152</c:f>
              <c:strCache>
                <c:ptCount val="3"/>
                <c:pt idx="0">
                  <c:v>Heartlands</c:v>
                </c:pt>
                <c:pt idx="1">
                  <c:v>Good Hope</c:v>
                </c:pt>
                <c:pt idx="2">
                  <c:v>Solihull</c:v>
                </c:pt>
              </c:strCache>
            </c:strRef>
          </c:cat>
          <c:val>
            <c:numRef>
              <c:f>'Trust Population'!$F$150:$F$152</c:f>
              <c:numCache>
                <c:formatCode>0.00%</c:formatCode>
                <c:ptCount val="3"/>
                <c:pt idx="0">
                  <c:v>0.48</c:v>
                </c:pt>
                <c:pt idx="1">
                  <c:v>0.82</c:v>
                </c:pt>
                <c:pt idx="2">
                  <c:v>0.89</c:v>
                </c:pt>
              </c:numCache>
            </c:numRef>
          </c:val>
        </c:ser>
        <c:dLbls>
          <c:showLegendKey val="0"/>
          <c:showVal val="0"/>
          <c:showCatName val="0"/>
          <c:showSerName val="0"/>
          <c:showPercent val="0"/>
          <c:showBubbleSize val="0"/>
        </c:dLbls>
        <c:gapWidth val="150"/>
        <c:axId val="105389440"/>
        <c:axId val="105399424"/>
      </c:barChart>
      <c:catAx>
        <c:axId val="105389440"/>
        <c:scaling>
          <c:orientation val="minMax"/>
        </c:scaling>
        <c:delete val="0"/>
        <c:axPos val="b"/>
        <c:majorTickMark val="none"/>
        <c:minorTickMark val="none"/>
        <c:tickLblPos val="nextTo"/>
        <c:crossAx val="105399424"/>
        <c:crosses val="autoZero"/>
        <c:auto val="1"/>
        <c:lblAlgn val="ctr"/>
        <c:lblOffset val="100"/>
        <c:noMultiLvlLbl val="0"/>
      </c:catAx>
      <c:valAx>
        <c:axId val="105399424"/>
        <c:scaling>
          <c:orientation val="minMax"/>
        </c:scaling>
        <c:delete val="0"/>
        <c:axPos val="l"/>
        <c:majorGridlines/>
        <c:numFmt formatCode="0.00%" sourceLinked="1"/>
        <c:majorTickMark val="none"/>
        <c:minorTickMark val="none"/>
        <c:tickLblPos val="nextTo"/>
        <c:crossAx val="105389440"/>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100"/>
              <a:t>Graph 10 - Administrative</a:t>
            </a:r>
            <a:r>
              <a:rPr lang="en-GB" sz="1100" baseline="0"/>
              <a:t> and Clerical Vacancy Analysis by Ethnicity</a:t>
            </a:r>
            <a:endParaRPr lang="en-GB" sz="1100"/>
          </a:p>
        </c:rich>
      </c:tx>
      <c:overlay val="0"/>
    </c:title>
    <c:autoTitleDeleted val="0"/>
    <c:plotArea>
      <c:layout/>
      <c:barChart>
        <c:barDir val="col"/>
        <c:grouping val="clustered"/>
        <c:varyColors val="0"/>
        <c:ser>
          <c:idx val="0"/>
          <c:order val="0"/>
          <c:tx>
            <c:strRef>
              <c:f>'A&amp;C'!$N$13</c:f>
              <c:strCache>
                <c:ptCount val="1"/>
                <c:pt idx="0">
                  <c:v>% Applications</c:v>
                </c:pt>
              </c:strCache>
            </c:strRef>
          </c:tx>
          <c:invertIfNegative val="0"/>
          <c:cat>
            <c:strRef>
              <c:f>'A&amp;C'!$M$14:$M$16</c:f>
              <c:strCache>
                <c:ptCount val="3"/>
                <c:pt idx="0">
                  <c:v>White</c:v>
                </c:pt>
                <c:pt idx="1">
                  <c:v>BME</c:v>
                </c:pt>
                <c:pt idx="2">
                  <c:v>Not Disclosed</c:v>
                </c:pt>
              </c:strCache>
            </c:strRef>
          </c:cat>
          <c:val>
            <c:numRef>
              <c:f>'A&amp;C'!$N$14:$N$16</c:f>
              <c:numCache>
                <c:formatCode>0.00%</c:formatCode>
                <c:ptCount val="3"/>
                <c:pt idx="0">
                  <c:v>0.497</c:v>
                </c:pt>
                <c:pt idx="1">
                  <c:v>0.46100000000000002</c:v>
                </c:pt>
                <c:pt idx="2">
                  <c:v>4.2999999999999997E-2</c:v>
                </c:pt>
              </c:numCache>
            </c:numRef>
          </c:val>
        </c:ser>
        <c:ser>
          <c:idx val="1"/>
          <c:order val="1"/>
          <c:tx>
            <c:strRef>
              <c:f>'A&amp;C'!$O$13</c:f>
              <c:strCache>
                <c:ptCount val="1"/>
                <c:pt idx="0">
                  <c:v>% Shortlisted</c:v>
                </c:pt>
              </c:strCache>
            </c:strRef>
          </c:tx>
          <c:invertIfNegative val="0"/>
          <c:cat>
            <c:strRef>
              <c:f>'A&amp;C'!$M$14:$M$16</c:f>
              <c:strCache>
                <c:ptCount val="3"/>
                <c:pt idx="0">
                  <c:v>White</c:v>
                </c:pt>
                <c:pt idx="1">
                  <c:v>BME</c:v>
                </c:pt>
                <c:pt idx="2">
                  <c:v>Not Disclosed</c:v>
                </c:pt>
              </c:strCache>
            </c:strRef>
          </c:cat>
          <c:val>
            <c:numRef>
              <c:f>'A&amp;C'!$O$14:$O$16</c:f>
              <c:numCache>
                <c:formatCode>0.00%</c:formatCode>
                <c:ptCount val="3"/>
                <c:pt idx="0">
                  <c:v>0.57000000000000006</c:v>
                </c:pt>
                <c:pt idx="1">
                  <c:v>0.39300000000000002</c:v>
                </c:pt>
                <c:pt idx="2">
                  <c:v>3.7999999999999999E-2</c:v>
                </c:pt>
              </c:numCache>
            </c:numRef>
          </c:val>
        </c:ser>
        <c:ser>
          <c:idx val="2"/>
          <c:order val="2"/>
          <c:tx>
            <c:strRef>
              <c:f>'A&amp;C'!$P$13</c:f>
              <c:strCache>
                <c:ptCount val="1"/>
                <c:pt idx="0">
                  <c:v>% Appointed</c:v>
                </c:pt>
              </c:strCache>
            </c:strRef>
          </c:tx>
          <c:invertIfNegative val="0"/>
          <c:cat>
            <c:strRef>
              <c:f>'A&amp;C'!$M$14:$M$16</c:f>
              <c:strCache>
                <c:ptCount val="3"/>
                <c:pt idx="0">
                  <c:v>White</c:v>
                </c:pt>
                <c:pt idx="1">
                  <c:v>BME</c:v>
                </c:pt>
                <c:pt idx="2">
                  <c:v>Not Disclosed</c:v>
                </c:pt>
              </c:strCache>
            </c:strRef>
          </c:cat>
          <c:val>
            <c:numRef>
              <c:f>'A&amp;C'!$P$14:$P$16</c:f>
              <c:numCache>
                <c:formatCode>0.00%</c:formatCode>
                <c:ptCount val="3"/>
                <c:pt idx="0">
                  <c:v>0.70500000000000007</c:v>
                </c:pt>
                <c:pt idx="1">
                  <c:v>0.25700000000000001</c:v>
                </c:pt>
                <c:pt idx="2">
                  <c:v>3.7999999999999999E-2</c:v>
                </c:pt>
              </c:numCache>
            </c:numRef>
          </c:val>
        </c:ser>
        <c:dLbls>
          <c:showLegendKey val="0"/>
          <c:showVal val="0"/>
          <c:showCatName val="0"/>
          <c:showSerName val="0"/>
          <c:showPercent val="0"/>
          <c:showBubbleSize val="0"/>
        </c:dLbls>
        <c:gapWidth val="150"/>
        <c:axId val="105721216"/>
        <c:axId val="105727104"/>
      </c:barChart>
      <c:catAx>
        <c:axId val="105721216"/>
        <c:scaling>
          <c:orientation val="minMax"/>
        </c:scaling>
        <c:delete val="0"/>
        <c:axPos val="b"/>
        <c:majorTickMark val="none"/>
        <c:minorTickMark val="none"/>
        <c:tickLblPos val="nextTo"/>
        <c:crossAx val="105727104"/>
        <c:crosses val="autoZero"/>
        <c:auto val="1"/>
        <c:lblAlgn val="ctr"/>
        <c:lblOffset val="100"/>
        <c:noMultiLvlLbl val="0"/>
      </c:catAx>
      <c:valAx>
        <c:axId val="105727104"/>
        <c:scaling>
          <c:orientation val="minMax"/>
          <c:max val="1"/>
        </c:scaling>
        <c:delete val="0"/>
        <c:axPos val="l"/>
        <c:majorGridlines/>
        <c:numFmt formatCode="0.00%" sourceLinked="1"/>
        <c:majorTickMark val="none"/>
        <c:minorTickMark val="none"/>
        <c:tickLblPos val="nextTo"/>
        <c:crossAx val="105721216"/>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100"/>
              <a:t>Graph 11 - Estates and Ancillary Vacancy Analysis by Ethnicity</a:t>
            </a:r>
          </a:p>
        </c:rich>
      </c:tx>
      <c:overlay val="0"/>
    </c:title>
    <c:autoTitleDeleted val="0"/>
    <c:plotArea>
      <c:layout/>
      <c:barChart>
        <c:barDir val="col"/>
        <c:grouping val="clustered"/>
        <c:varyColors val="0"/>
        <c:ser>
          <c:idx val="0"/>
          <c:order val="0"/>
          <c:tx>
            <c:strRef>
              <c:f>'Estates &amp; ANC'!$M$13</c:f>
              <c:strCache>
                <c:ptCount val="1"/>
                <c:pt idx="0">
                  <c:v>% Applications</c:v>
                </c:pt>
              </c:strCache>
            </c:strRef>
          </c:tx>
          <c:invertIfNegative val="0"/>
          <c:cat>
            <c:strRef>
              <c:f>'Estates &amp; ANC'!$L$14:$L$16</c:f>
              <c:strCache>
                <c:ptCount val="3"/>
                <c:pt idx="0">
                  <c:v>White</c:v>
                </c:pt>
                <c:pt idx="1">
                  <c:v>BME</c:v>
                </c:pt>
                <c:pt idx="2">
                  <c:v>Not Disclosed</c:v>
                </c:pt>
              </c:strCache>
            </c:strRef>
          </c:cat>
          <c:val>
            <c:numRef>
              <c:f>'Estates &amp; ANC'!$M$14:$M$16</c:f>
              <c:numCache>
                <c:formatCode>0.00%</c:formatCode>
                <c:ptCount val="3"/>
                <c:pt idx="0">
                  <c:v>0.57800000000000007</c:v>
                </c:pt>
                <c:pt idx="1">
                  <c:v>0.40400000000000008</c:v>
                </c:pt>
                <c:pt idx="2">
                  <c:v>1.9E-2</c:v>
                </c:pt>
              </c:numCache>
            </c:numRef>
          </c:val>
        </c:ser>
        <c:ser>
          <c:idx val="1"/>
          <c:order val="1"/>
          <c:tx>
            <c:strRef>
              <c:f>'Estates &amp; ANC'!$N$13</c:f>
              <c:strCache>
                <c:ptCount val="1"/>
                <c:pt idx="0">
                  <c:v>% Shortlisted</c:v>
                </c:pt>
              </c:strCache>
            </c:strRef>
          </c:tx>
          <c:invertIfNegative val="0"/>
          <c:cat>
            <c:strRef>
              <c:f>'Estates &amp; ANC'!$L$14:$L$16</c:f>
              <c:strCache>
                <c:ptCount val="3"/>
                <c:pt idx="0">
                  <c:v>White</c:v>
                </c:pt>
                <c:pt idx="1">
                  <c:v>BME</c:v>
                </c:pt>
                <c:pt idx="2">
                  <c:v>Not Disclosed</c:v>
                </c:pt>
              </c:strCache>
            </c:strRef>
          </c:cat>
          <c:val>
            <c:numRef>
              <c:f>'Estates &amp; ANC'!$N$14:$N$16</c:f>
              <c:numCache>
                <c:formatCode>0.00%</c:formatCode>
                <c:ptCount val="3"/>
                <c:pt idx="0">
                  <c:v>0.621</c:v>
                </c:pt>
                <c:pt idx="1">
                  <c:v>0.36100000000000004</c:v>
                </c:pt>
                <c:pt idx="2">
                  <c:v>1.7000000000000001E-2</c:v>
                </c:pt>
              </c:numCache>
            </c:numRef>
          </c:val>
        </c:ser>
        <c:ser>
          <c:idx val="2"/>
          <c:order val="2"/>
          <c:tx>
            <c:strRef>
              <c:f>'Estates &amp; ANC'!$O$13</c:f>
              <c:strCache>
                <c:ptCount val="1"/>
                <c:pt idx="0">
                  <c:v>% Appointed</c:v>
                </c:pt>
              </c:strCache>
            </c:strRef>
          </c:tx>
          <c:invertIfNegative val="0"/>
          <c:cat>
            <c:strRef>
              <c:f>'Estates &amp; ANC'!$L$14:$L$16</c:f>
              <c:strCache>
                <c:ptCount val="3"/>
                <c:pt idx="0">
                  <c:v>White</c:v>
                </c:pt>
                <c:pt idx="1">
                  <c:v>BME</c:v>
                </c:pt>
                <c:pt idx="2">
                  <c:v>Not Disclosed</c:v>
                </c:pt>
              </c:strCache>
            </c:strRef>
          </c:cat>
          <c:val>
            <c:numRef>
              <c:f>'Estates &amp; ANC'!$O$14:$O$16</c:f>
              <c:numCache>
                <c:formatCode>0.00%</c:formatCode>
                <c:ptCount val="3"/>
                <c:pt idx="0">
                  <c:v>0.72800000000000009</c:v>
                </c:pt>
                <c:pt idx="1">
                  <c:v>0.253</c:v>
                </c:pt>
                <c:pt idx="2">
                  <c:v>1.7000000000000001E-2</c:v>
                </c:pt>
              </c:numCache>
            </c:numRef>
          </c:val>
        </c:ser>
        <c:dLbls>
          <c:showLegendKey val="0"/>
          <c:showVal val="0"/>
          <c:showCatName val="0"/>
          <c:showSerName val="0"/>
          <c:showPercent val="0"/>
          <c:showBubbleSize val="0"/>
        </c:dLbls>
        <c:gapWidth val="150"/>
        <c:axId val="105757312"/>
        <c:axId val="105767296"/>
      </c:barChart>
      <c:catAx>
        <c:axId val="105757312"/>
        <c:scaling>
          <c:orientation val="minMax"/>
        </c:scaling>
        <c:delete val="0"/>
        <c:axPos val="b"/>
        <c:majorTickMark val="none"/>
        <c:minorTickMark val="none"/>
        <c:tickLblPos val="nextTo"/>
        <c:crossAx val="105767296"/>
        <c:crosses val="autoZero"/>
        <c:auto val="1"/>
        <c:lblAlgn val="ctr"/>
        <c:lblOffset val="100"/>
        <c:noMultiLvlLbl val="0"/>
      </c:catAx>
      <c:valAx>
        <c:axId val="105767296"/>
        <c:scaling>
          <c:orientation val="minMax"/>
          <c:max val="1"/>
        </c:scaling>
        <c:delete val="0"/>
        <c:axPos val="l"/>
        <c:majorGridlines/>
        <c:numFmt formatCode="0.00%" sourceLinked="1"/>
        <c:majorTickMark val="none"/>
        <c:minorTickMark val="none"/>
        <c:tickLblPos val="nextTo"/>
        <c:crossAx val="105757312"/>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12 - Workforce by Pay</a:t>
            </a:r>
            <a:r>
              <a:rPr lang="en-GB" sz="1200" baseline="0"/>
              <a:t> Band and Ethnicity</a:t>
            </a:r>
            <a:endParaRPr lang="en-GB" sz="1200"/>
          </a:p>
        </c:rich>
      </c:tx>
      <c:overlay val="0"/>
    </c:title>
    <c:autoTitleDeleted val="0"/>
    <c:plotArea>
      <c:layout/>
      <c:barChart>
        <c:barDir val="col"/>
        <c:grouping val="percentStacked"/>
        <c:varyColors val="0"/>
        <c:ser>
          <c:idx val="0"/>
          <c:order val="0"/>
          <c:tx>
            <c:strRef>
              <c:f>'Band Analysis'!$C$812</c:f>
              <c:strCache>
                <c:ptCount val="1"/>
                <c:pt idx="0">
                  <c:v>BME</c:v>
                </c:pt>
              </c:strCache>
            </c:strRef>
          </c:tx>
          <c:invertIfNegative val="0"/>
          <c:cat>
            <c:strRef>
              <c:f>'Band Analysis'!$B$813:$B$828</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Consultant</c:v>
                </c:pt>
                <c:pt idx="13">
                  <c:v>Junior Medic</c:v>
                </c:pt>
                <c:pt idx="14">
                  <c:v>Other Medic</c:v>
                </c:pt>
                <c:pt idx="15">
                  <c:v>SMP</c:v>
                </c:pt>
              </c:strCache>
            </c:strRef>
          </c:cat>
          <c:val>
            <c:numRef>
              <c:f>'Band Analysis'!$C$813:$C$828</c:f>
              <c:numCache>
                <c:formatCode>0.00%</c:formatCode>
                <c:ptCount val="16"/>
                <c:pt idx="0">
                  <c:v>0.18099547511312217</c:v>
                </c:pt>
                <c:pt idx="1">
                  <c:v>0.22401334074485826</c:v>
                </c:pt>
                <c:pt idx="2">
                  <c:v>0.18936170212765957</c:v>
                </c:pt>
                <c:pt idx="3">
                  <c:v>0.12204234122042341</c:v>
                </c:pt>
                <c:pt idx="4">
                  <c:v>0.35482395976223136</c:v>
                </c:pt>
                <c:pt idx="5">
                  <c:v>0.20595533498759305</c:v>
                </c:pt>
                <c:pt idx="6">
                  <c:v>0.13576158940397351</c:v>
                </c:pt>
                <c:pt idx="7">
                  <c:v>0.10071942446043165</c:v>
                </c:pt>
                <c:pt idx="8">
                  <c:v>8.1632653061224483E-2</c:v>
                </c:pt>
                <c:pt idx="9">
                  <c:v>0.05</c:v>
                </c:pt>
                <c:pt idx="10">
                  <c:v>4.1666666666666664E-2</c:v>
                </c:pt>
                <c:pt idx="11">
                  <c:v>0</c:v>
                </c:pt>
                <c:pt idx="12">
                  <c:v>0.45707656612529002</c:v>
                </c:pt>
                <c:pt idx="13">
                  <c:v>0.52281368821292773</c:v>
                </c:pt>
                <c:pt idx="14">
                  <c:v>0.63694267515923564</c:v>
                </c:pt>
                <c:pt idx="15">
                  <c:v>0</c:v>
                </c:pt>
              </c:numCache>
            </c:numRef>
          </c:val>
        </c:ser>
        <c:ser>
          <c:idx val="1"/>
          <c:order val="1"/>
          <c:tx>
            <c:strRef>
              <c:f>'Band Analysis'!$D$812</c:f>
              <c:strCache>
                <c:ptCount val="1"/>
                <c:pt idx="0">
                  <c:v>Not Stated</c:v>
                </c:pt>
              </c:strCache>
            </c:strRef>
          </c:tx>
          <c:invertIfNegative val="0"/>
          <c:cat>
            <c:strRef>
              <c:f>'Band Analysis'!$B$813:$B$828</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Consultant</c:v>
                </c:pt>
                <c:pt idx="13">
                  <c:v>Junior Medic</c:v>
                </c:pt>
                <c:pt idx="14">
                  <c:v>Other Medic</c:v>
                </c:pt>
                <c:pt idx="15">
                  <c:v>SMP</c:v>
                </c:pt>
              </c:strCache>
            </c:strRef>
          </c:cat>
          <c:val>
            <c:numRef>
              <c:f>'Band Analysis'!$D$813:$D$828</c:f>
              <c:numCache>
                <c:formatCode>0.00%</c:formatCode>
                <c:ptCount val="16"/>
                <c:pt idx="0">
                  <c:v>8.5972850678733032E-2</c:v>
                </c:pt>
                <c:pt idx="1">
                  <c:v>9.0605892162312393E-2</c:v>
                </c:pt>
                <c:pt idx="2">
                  <c:v>6.702127659574468E-2</c:v>
                </c:pt>
                <c:pt idx="3">
                  <c:v>6.6002490660024907E-2</c:v>
                </c:pt>
                <c:pt idx="4">
                  <c:v>6.7672610882487425E-2</c:v>
                </c:pt>
                <c:pt idx="5">
                  <c:v>6.2034739454094295E-2</c:v>
                </c:pt>
                <c:pt idx="6">
                  <c:v>5.7395143487858721E-2</c:v>
                </c:pt>
                <c:pt idx="7">
                  <c:v>6.83453237410072E-2</c:v>
                </c:pt>
                <c:pt idx="8">
                  <c:v>0.10204081632653061</c:v>
                </c:pt>
                <c:pt idx="9">
                  <c:v>2.5000000000000001E-2</c:v>
                </c:pt>
                <c:pt idx="10">
                  <c:v>0.16666666666666666</c:v>
                </c:pt>
                <c:pt idx="11">
                  <c:v>5.5555555555555552E-2</c:v>
                </c:pt>
                <c:pt idx="12">
                  <c:v>7.6566125290023199E-2</c:v>
                </c:pt>
                <c:pt idx="13">
                  <c:v>4.5627376425855515E-2</c:v>
                </c:pt>
                <c:pt idx="14">
                  <c:v>8.2802547770700632E-2</c:v>
                </c:pt>
                <c:pt idx="15">
                  <c:v>0.4</c:v>
                </c:pt>
              </c:numCache>
            </c:numRef>
          </c:val>
        </c:ser>
        <c:ser>
          <c:idx val="2"/>
          <c:order val="2"/>
          <c:tx>
            <c:strRef>
              <c:f>'Band Analysis'!$E$812</c:f>
              <c:strCache>
                <c:ptCount val="1"/>
                <c:pt idx="0">
                  <c:v>White</c:v>
                </c:pt>
              </c:strCache>
            </c:strRef>
          </c:tx>
          <c:invertIfNegative val="0"/>
          <c:cat>
            <c:strRef>
              <c:f>'Band Analysis'!$B$813:$B$828</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Consultant</c:v>
                </c:pt>
                <c:pt idx="13">
                  <c:v>Junior Medic</c:v>
                </c:pt>
                <c:pt idx="14">
                  <c:v>Other Medic</c:v>
                </c:pt>
                <c:pt idx="15">
                  <c:v>SMP</c:v>
                </c:pt>
              </c:strCache>
            </c:strRef>
          </c:cat>
          <c:val>
            <c:numRef>
              <c:f>'Band Analysis'!$E$813:$E$828</c:f>
              <c:numCache>
                <c:formatCode>0.00%</c:formatCode>
                <c:ptCount val="16"/>
                <c:pt idx="0">
                  <c:v>0.73303167420814475</c:v>
                </c:pt>
                <c:pt idx="1">
                  <c:v>0.68538076709282936</c:v>
                </c:pt>
                <c:pt idx="2">
                  <c:v>0.74361702127659579</c:v>
                </c:pt>
                <c:pt idx="3">
                  <c:v>0.81195516811955171</c:v>
                </c:pt>
                <c:pt idx="4">
                  <c:v>0.57750342935528121</c:v>
                </c:pt>
                <c:pt idx="5">
                  <c:v>0.73200992555831268</c:v>
                </c:pt>
                <c:pt idx="6">
                  <c:v>0.80684326710816778</c:v>
                </c:pt>
                <c:pt idx="7">
                  <c:v>0.8309352517985612</c:v>
                </c:pt>
                <c:pt idx="8">
                  <c:v>0.81632653061224492</c:v>
                </c:pt>
                <c:pt idx="9">
                  <c:v>0.92500000000000004</c:v>
                </c:pt>
                <c:pt idx="10">
                  <c:v>0.79166666666666663</c:v>
                </c:pt>
                <c:pt idx="11">
                  <c:v>0.94444444444444442</c:v>
                </c:pt>
                <c:pt idx="12">
                  <c:v>0.46635730858468677</c:v>
                </c:pt>
                <c:pt idx="13">
                  <c:v>0.43155893536121676</c:v>
                </c:pt>
                <c:pt idx="14">
                  <c:v>0.28025477707006369</c:v>
                </c:pt>
                <c:pt idx="15">
                  <c:v>0.6</c:v>
                </c:pt>
              </c:numCache>
            </c:numRef>
          </c:val>
        </c:ser>
        <c:dLbls>
          <c:showLegendKey val="0"/>
          <c:showVal val="0"/>
          <c:showCatName val="0"/>
          <c:showSerName val="0"/>
          <c:showPercent val="0"/>
          <c:showBubbleSize val="0"/>
        </c:dLbls>
        <c:gapWidth val="55"/>
        <c:overlap val="100"/>
        <c:axId val="106130432"/>
        <c:axId val="106140416"/>
      </c:barChart>
      <c:catAx>
        <c:axId val="106130432"/>
        <c:scaling>
          <c:orientation val="minMax"/>
        </c:scaling>
        <c:delete val="0"/>
        <c:axPos val="b"/>
        <c:numFmt formatCode="General" sourceLinked="1"/>
        <c:majorTickMark val="none"/>
        <c:minorTickMark val="none"/>
        <c:tickLblPos val="nextTo"/>
        <c:crossAx val="106140416"/>
        <c:crosses val="autoZero"/>
        <c:auto val="1"/>
        <c:lblAlgn val="ctr"/>
        <c:lblOffset val="100"/>
        <c:noMultiLvlLbl val="0"/>
      </c:catAx>
      <c:valAx>
        <c:axId val="106140416"/>
        <c:scaling>
          <c:orientation val="minMax"/>
        </c:scaling>
        <c:delete val="0"/>
        <c:axPos val="l"/>
        <c:majorGridlines/>
        <c:numFmt formatCode="0%" sourceLinked="1"/>
        <c:majorTickMark val="none"/>
        <c:minorTickMark val="none"/>
        <c:tickLblPos val="nextTo"/>
        <c:crossAx val="106130432"/>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100"/>
              <a:t>Graph 13 - Leavers by Ethnicity</a:t>
            </a:r>
          </a:p>
        </c:rich>
      </c:tx>
      <c:overlay val="0"/>
    </c:title>
    <c:autoTitleDeleted val="0"/>
    <c:plotArea>
      <c:layout/>
      <c:pieChart>
        <c:varyColors val="1"/>
        <c:ser>
          <c:idx val="0"/>
          <c:order val="0"/>
          <c:dPt>
            <c:idx val="0"/>
            <c:bubble3D val="0"/>
          </c:dPt>
          <c:dPt>
            <c:idx val="1"/>
            <c:bubble3D val="0"/>
          </c:dPt>
          <c:dLbls>
            <c:dLbl>
              <c:idx val="0"/>
              <c:numFmt formatCode="0.00%" sourceLinked="0"/>
              <c:spPr/>
              <c:txPr>
                <a:bodyPr/>
                <a:lstStyle/>
                <a:p>
                  <a:pPr>
                    <a:defRPr/>
                  </a:pPr>
                  <a:endParaRPr lang="en-US"/>
                </a:p>
              </c:txPr>
              <c:showLegendKey val="0"/>
              <c:showVal val="0"/>
              <c:showCatName val="1"/>
              <c:showSerName val="0"/>
              <c:showPercent val="1"/>
              <c:showBubbleSize val="0"/>
            </c:dLbl>
            <c:dLbl>
              <c:idx val="1"/>
              <c:numFmt formatCode="0.00%" sourceLinked="0"/>
              <c:spPr/>
              <c:txPr>
                <a:bodyPr/>
                <a:lstStyle/>
                <a:p>
                  <a:pPr>
                    <a:defRPr/>
                  </a:pPr>
                  <a:endParaRPr lang="en-US"/>
                </a:p>
              </c:txPr>
              <c:showLegendKey val="0"/>
              <c:showVal val="0"/>
              <c:showCatName val="1"/>
              <c:showSerName val="0"/>
              <c:showPercent val="1"/>
              <c:showBubbleSize val="0"/>
            </c:dLbl>
            <c:showLegendKey val="0"/>
            <c:showVal val="0"/>
            <c:showCatName val="1"/>
            <c:showSerName val="0"/>
            <c:showPercent val="1"/>
            <c:showBubbleSize val="0"/>
            <c:showLeaderLines val="1"/>
          </c:dLbls>
          <c:cat>
            <c:strRef>
              <c:f>'Leavers Analysis'!$B$41:$B$42</c:f>
              <c:strCache>
                <c:ptCount val="2"/>
                <c:pt idx="0">
                  <c:v>BME</c:v>
                </c:pt>
                <c:pt idx="1">
                  <c:v>White</c:v>
                </c:pt>
              </c:strCache>
            </c:strRef>
          </c:cat>
          <c:val>
            <c:numRef>
              <c:f>'Leavers Analysis'!$C$41:$C$42</c:f>
              <c:numCache>
                <c:formatCode>0.00%</c:formatCode>
                <c:ptCount val="2"/>
                <c:pt idx="0">
                  <c:v>0.24264705882352941</c:v>
                </c:pt>
                <c:pt idx="1">
                  <c:v>0.75735294117647056</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14 - Employee Relations Cases by Ethnicity</a:t>
            </a:r>
          </a:p>
        </c:rich>
      </c:tx>
      <c:overlay val="0"/>
    </c:title>
    <c:autoTitleDeleted val="0"/>
    <c:plotArea>
      <c:layout/>
      <c:barChart>
        <c:barDir val="col"/>
        <c:grouping val="clustered"/>
        <c:varyColors val="0"/>
        <c:ser>
          <c:idx val="0"/>
          <c:order val="0"/>
          <c:tx>
            <c:strRef>
              <c:f>'Case Analysis'!$G$12</c:f>
              <c:strCache>
                <c:ptCount val="1"/>
                <c:pt idx="0">
                  <c:v>Disciplinary</c:v>
                </c:pt>
              </c:strCache>
            </c:strRef>
          </c:tx>
          <c:invertIfNegative val="0"/>
          <c:cat>
            <c:strRef>
              <c:f>'Case Analysis'!$H$11:$I$11</c:f>
              <c:strCache>
                <c:ptCount val="2"/>
                <c:pt idx="0">
                  <c:v>BME</c:v>
                </c:pt>
                <c:pt idx="1">
                  <c:v>White</c:v>
                </c:pt>
              </c:strCache>
            </c:strRef>
          </c:cat>
          <c:val>
            <c:numRef>
              <c:f>'Case Analysis'!$H$12:$I$12</c:f>
              <c:numCache>
                <c:formatCode>0.0%</c:formatCode>
                <c:ptCount val="2"/>
                <c:pt idx="0">
                  <c:v>0.32800000000000001</c:v>
                </c:pt>
                <c:pt idx="1">
                  <c:v>0.67200000000000004</c:v>
                </c:pt>
              </c:numCache>
            </c:numRef>
          </c:val>
        </c:ser>
        <c:ser>
          <c:idx val="1"/>
          <c:order val="1"/>
          <c:tx>
            <c:strRef>
              <c:f>'Case Analysis'!$G$13</c:f>
              <c:strCache>
                <c:ptCount val="1"/>
                <c:pt idx="0">
                  <c:v>Grievance</c:v>
                </c:pt>
              </c:strCache>
            </c:strRef>
          </c:tx>
          <c:invertIfNegative val="0"/>
          <c:cat>
            <c:strRef>
              <c:f>'Case Analysis'!$H$11:$I$11</c:f>
              <c:strCache>
                <c:ptCount val="2"/>
                <c:pt idx="0">
                  <c:v>BME</c:v>
                </c:pt>
                <c:pt idx="1">
                  <c:v>White</c:v>
                </c:pt>
              </c:strCache>
            </c:strRef>
          </c:cat>
          <c:val>
            <c:numRef>
              <c:f>'Case Analysis'!$H$13:$I$13</c:f>
              <c:numCache>
                <c:formatCode>0.0%</c:formatCode>
                <c:ptCount val="2"/>
                <c:pt idx="0">
                  <c:v>0.375</c:v>
                </c:pt>
                <c:pt idx="1">
                  <c:v>0.625</c:v>
                </c:pt>
              </c:numCache>
            </c:numRef>
          </c:val>
        </c:ser>
        <c:ser>
          <c:idx val="2"/>
          <c:order val="2"/>
          <c:tx>
            <c:strRef>
              <c:f>'Case Analysis'!$G$14</c:f>
              <c:strCache>
                <c:ptCount val="1"/>
                <c:pt idx="0">
                  <c:v>Workforce</c:v>
                </c:pt>
              </c:strCache>
            </c:strRef>
          </c:tx>
          <c:invertIfNegative val="0"/>
          <c:cat>
            <c:strRef>
              <c:f>'Case Analysis'!$H$11:$I$11</c:f>
              <c:strCache>
                <c:ptCount val="2"/>
                <c:pt idx="0">
                  <c:v>BME</c:v>
                </c:pt>
                <c:pt idx="1">
                  <c:v>White</c:v>
                </c:pt>
              </c:strCache>
            </c:strRef>
          </c:cat>
          <c:val>
            <c:numRef>
              <c:f>'Case Analysis'!$H$14:$I$14</c:f>
              <c:numCache>
                <c:formatCode>0.0%</c:formatCode>
                <c:ptCount val="2"/>
                <c:pt idx="0">
                  <c:v>0.27260000000000001</c:v>
                </c:pt>
                <c:pt idx="1">
                  <c:v>0.72740000000000005</c:v>
                </c:pt>
              </c:numCache>
            </c:numRef>
          </c:val>
        </c:ser>
        <c:dLbls>
          <c:showLegendKey val="0"/>
          <c:showVal val="0"/>
          <c:showCatName val="0"/>
          <c:showSerName val="0"/>
          <c:showPercent val="0"/>
          <c:showBubbleSize val="0"/>
        </c:dLbls>
        <c:gapWidth val="150"/>
        <c:axId val="106186240"/>
        <c:axId val="106187776"/>
      </c:barChart>
      <c:catAx>
        <c:axId val="106186240"/>
        <c:scaling>
          <c:orientation val="minMax"/>
        </c:scaling>
        <c:delete val="0"/>
        <c:axPos val="b"/>
        <c:majorTickMark val="none"/>
        <c:minorTickMark val="none"/>
        <c:tickLblPos val="nextTo"/>
        <c:crossAx val="106187776"/>
        <c:crosses val="autoZero"/>
        <c:auto val="1"/>
        <c:lblAlgn val="ctr"/>
        <c:lblOffset val="100"/>
        <c:noMultiLvlLbl val="0"/>
      </c:catAx>
      <c:valAx>
        <c:axId val="106187776"/>
        <c:scaling>
          <c:orientation val="minMax"/>
        </c:scaling>
        <c:delete val="0"/>
        <c:axPos val="l"/>
        <c:majorGridlines/>
        <c:numFmt formatCode="0.0%" sourceLinked="1"/>
        <c:majorTickMark val="none"/>
        <c:minorTickMark val="none"/>
        <c:tickLblPos val="nextTo"/>
        <c:crossAx val="106186240"/>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15 - Percentage of Staff by Pay Band and</a:t>
            </a:r>
            <a:r>
              <a:rPr lang="en-GB" sz="1200" baseline="0"/>
              <a:t> Gender</a:t>
            </a:r>
            <a:endParaRPr lang="en-GB" sz="1200"/>
          </a:p>
        </c:rich>
      </c:tx>
      <c:overlay val="0"/>
    </c:title>
    <c:autoTitleDeleted val="0"/>
    <c:plotArea>
      <c:layout/>
      <c:barChart>
        <c:barDir val="col"/>
        <c:grouping val="percentStacked"/>
        <c:varyColors val="0"/>
        <c:ser>
          <c:idx val="0"/>
          <c:order val="0"/>
          <c:tx>
            <c:strRef>
              <c:f>'Band Analysis'!$C$858</c:f>
              <c:strCache>
                <c:ptCount val="1"/>
                <c:pt idx="0">
                  <c:v>Female</c:v>
                </c:pt>
              </c:strCache>
            </c:strRef>
          </c:tx>
          <c:invertIfNegative val="0"/>
          <c:cat>
            <c:strRef>
              <c:f>'Band Analysis'!$B$859:$B$874</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Consultant</c:v>
                </c:pt>
                <c:pt idx="13">
                  <c:v>Junior Medic</c:v>
                </c:pt>
                <c:pt idx="14">
                  <c:v>Other Medic</c:v>
                </c:pt>
                <c:pt idx="15">
                  <c:v>SMP</c:v>
                </c:pt>
              </c:strCache>
            </c:strRef>
          </c:cat>
          <c:val>
            <c:numRef>
              <c:f>'Band Analysis'!$C$859:$C$874</c:f>
              <c:numCache>
                <c:formatCode>0.00%</c:formatCode>
                <c:ptCount val="16"/>
                <c:pt idx="0">
                  <c:v>0.66289592760180993</c:v>
                </c:pt>
                <c:pt idx="1">
                  <c:v>0.86937187326292387</c:v>
                </c:pt>
                <c:pt idx="2">
                  <c:v>0.86276595744680851</c:v>
                </c:pt>
                <c:pt idx="3">
                  <c:v>0.83935242839352431</c:v>
                </c:pt>
                <c:pt idx="4">
                  <c:v>0.87882944673068131</c:v>
                </c:pt>
                <c:pt idx="5">
                  <c:v>0.85545905707196035</c:v>
                </c:pt>
                <c:pt idx="6">
                  <c:v>0.82450331125827814</c:v>
                </c:pt>
                <c:pt idx="7">
                  <c:v>0.81654676258992809</c:v>
                </c:pt>
                <c:pt idx="8">
                  <c:v>0.68367346938775508</c:v>
                </c:pt>
                <c:pt idx="9">
                  <c:v>0.75</c:v>
                </c:pt>
                <c:pt idx="10">
                  <c:v>0.41666666666666669</c:v>
                </c:pt>
                <c:pt idx="11">
                  <c:v>0.61111111111111116</c:v>
                </c:pt>
                <c:pt idx="12">
                  <c:v>0.29930394431554525</c:v>
                </c:pt>
                <c:pt idx="13">
                  <c:v>0.52471482889733845</c:v>
                </c:pt>
                <c:pt idx="14">
                  <c:v>0.31210191082802546</c:v>
                </c:pt>
                <c:pt idx="15">
                  <c:v>0.4</c:v>
                </c:pt>
              </c:numCache>
            </c:numRef>
          </c:val>
        </c:ser>
        <c:ser>
          <c:idx val="1"/>
          <c:order val="1"/>
          <c:tx>
            <c:strRef>
              <c:f>'Band Analysis'!$D$858</c:f>
              <c:strCache>
                <c:ptCount val="1"/>
                <c:pt idx="0">
                  <c:v>Male</c:v>
                </c:pt>
              </c:strCache>
            </c:strRef>
          </c:tx>
          <c:invertIfNegative val="0"/>
          <c:cat>
            <c:strRef>
              <c:f>'Band Analysis'!$B$859:$B$874</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Consultant</c:v>
                </c:pt>
                <c:pt idx="13">
                  <c:v>Junior Medic</c:v>
                </c:pt>
                <c:pt idx="14">
                  <c:v>Other Medic</c:v>
                </c:pt>
                <c:pt idx="15">
                  <c:v>SMP</c:v>
                </c:pt>
              </c:strCache>
            </c:strRef>
          </c:cat>
          <c:val>
            <c:numRef>
              <c:f>'Band Analysis'!$D$859:$D$874</c:f>
              <c:numCache>
                <c:formatCode>0.00%</c:formatCode>
                <c:ptCount val="16"/>
                <c:pt idx="0">
                  <c:v>0.33710407239819007</c:v>
                </c:pt>
                <c:pt idx="1">
                  <c:v>0.13062812673707616</c:v>
                </c:pt>
                <c:pt idx="2">
                  <c:v>0.13723404255319149</c:v>
                </c:pt>
                <c:pt idx="3">
                  <c:v>0.16064757160647572</c:v>
                </c:pt>
                <c:pt idx="4">
                  <c:v>0.12117055326931871</c:v>
                </c:pt>
                <c:pt idx="5">
                  <c:v>0.14454094292803971</c:v>
                </c:pt>
                <c:pt idx="6">
                  <c:v>0.17549668874172186</c:v>
                </c:pt>
                <c:pt idx="7">
                  <c:v>0.18345323741007194</c:v>
                </c:pt>
                <c:pt idx="8">
                  <c:v>0.31632653061224492</c:v>
                </c:pt>
                <c:pt idx="9">
                  <c:v>0.25</c:v>
                </c:pt>
                <c:pt idx="10">
                  <c:v>0.58333333333333337</c:v>
                </c:pt>
                <c:pt idx="11">
                  <c:v>0.3888888888888889</c:v>
                </c:pt>
                <c:pt idx="12">
                  <c:v>0.70069605568445481</c:v>
                </c:pt>
                <c:pt idx="13">
                  <c:v>0.47528517110266161</c:v>
                </c:pt>
                <c:pt idx="14">
                  <c:v>0.68789808917197448</c:v>
                </c:pt>
                <c:pt idx="15">
                  <c:v>0.6</c:v>
                </c:pt>
              </c:numCache>
            </c:numRef>
          </c:val>
        </c:ser>
        <c:dLbls>
          <c:showLegendKey val="0"/>
          <c:showVal val="0"/>
          <c:showCatName val="0"/>
          <c:showSerName val="0"/>
          <c:showPercent val="0"/>
          <c:showBubbleSize val="0"/>
        </c:dLbls>
        <c:gapWidth val="55"/>
        <c:overlap val="100"/>
        <c:axId val="106200448"/>
        <c:axId val="106206336"/>
      </c:barChart>
      <c:catAx>
        <c:axId val="106200448"/>
        <c:scaling>
          <c:orientation val="minMax"/>
        </c:scaling>
        <c:delete val="0"/>
        <c:axPos val="b"/>
        <c:numFmt formatCode="General" sourceLinked="1"/>
        <c:majorTickMark val="none"/>
        <c:minorTickMark val="none"/>
        <c:tickLblPos val="nextTo"/>
        <c:crossAx val="106206336"/>
        <c:crosses val="autoZero"/>
        <c:auto val="1"/>
        <c:lblAlgn val="ctr"/>
        <c:lblOffset val="100"/>
        <c:noMultiLvlLbl val="0"/>
      </c:catAx>
      <c:valAx>
        <c:axId val="106206336"/>
        <c:scaling>
          <c:orientation val="minMax"/>
        </c:scaling>
        <c:delete val="0"/>
        <c:axPos val="l"/>
        <c:majorGridlines/>
        <c:numFmt formatCode="0%" sourceLinked="1"/>
        <c:majorTickMark val="none"/>
        <c:minorTickMark val="none"/>
        <c:tickLblPos val="nextTo"/>
        <c:crossAx val="106200448"/>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100"/>
              <a:t>Graph 16 - Vacancy Analysis by Gender</a:t>
            </a:r>
          </a:p>
        </c:rich>
      </c:tx>
      <c:overlay val="0"/>
    </c:title>
    <c:autoTitleDeleted val="0"/>
    <c:plotArea>
      <c:layout/>
      <c:barChart>
        <c:barDir val="col"/>
        <c:grouping val="clustered"/>
        <c:varyColors val="0"/>
        <c:ser>
          <c:idx val="0"/>
          <c:order val="0"/>
          <c:tx>
            <c:strRef>
              <c:f>Equal_Opportunities_Progress!$H$4</c:f>
              <c:strCache>
                <c:ptCount val="1"/>
                <c:pt idx="0">
                  <c:v>Applied</c:v>
                </c:pt>
              </c:strCache>
            </c:strRef>
          </c:tx>
          <c:invertIfNegative val="0"/>
          <c:cat>
            <c:strRef>
              <c:f>Equal_Opportunities_Progress!$G$5:$G$7</c:f>
              <c:strCache>
                <c:ptCount val="3"/>
                <c:pt idx="0">
                  <c:v>Male</c:v>
                </c:pt>
                <c:pt idx="1">
                  <c:v>Female</c:v>
                </c:pt>
                <c:pt idx="2">
                  <c:v>Undisclosed</c:v>
                </c:pt>
              </c:strCache>
            </c:strRef>
          </c:cat>
          <c:val>
            <c:numRef>
              <c:f>Equal_Opportunities_Progress!$H$5:$H$7</c:f>
              <c:numCache>
                <c:formatCode>0.00%</c:formatCode>
                <c:ptCount val="3"/>
                <c:pt idx="0">
                  <c:v>0.248</c:v>
                </c:pt>
                <c:pt idx="1">
                  <c:v>0.747</c:v>
                </c:pt>
                <c:pt idx="2">
                  <c:v>5.0000000000000001E-3</c:v>
                </c:pt>
              </c:numCache>
            </c:numRef>
          </c:val>
        </c:ser>
        <c:ser>
          <c:idx val="1"/>
          <c:order val="1"/>
          <c:tx>
            <c:strRef>
              <c:f>Equal_Opportunities_Progress!$I$4</c:f>
              <c:strCache>
                <c:ptCount val="1"/>
                <c:pt idx="0">
                  <c:v>Shortlisted</c:v>
                </c:pt>
              </c:strCache>
            </c:strRef>
          </c:tx>
          <c:invertIfNegative val="0"/>
          <c:cat>
            <c:strRef>
              <c:f>Equal_Opportunities_Progress!$G$5:$G$7</c:f>
              <c:strCache>
                <c:ptCount val="3"/>
                <c:pt idx="0">
                  <c:v>Male</c:v>
                </c:pt>
                <c:pt idx="1">
                  <c:v>Female</c:v>
                </c:pt>
                <c:pt idx="2">
                  <c:v>Undisclosed</c:v>
                </c:pt>
              </c:strCache>
            </c:strRef>
          </c:cat>
          <c:val>
            <c:numRef>
              <c:f>Equal_Opportunities_Progress!$I$5:$I$7</c:f>
              <c:numCache>
                <c:formatCode>0.00%</c:formatCode>
                <c:ptCount val="3"/>
                <c:pt idx="0">
                  <c:v>0.20899999999999999</c:v>
                </c:pt>
                <c:pt idx="1">
                  <c:v>0.78800000000000003</c:v>
                </c:pt>
                <c:pt idx="2">
                  <c:v>3.0000000000000001E-3</c:v>
                </c:pt>
              </c:numCache>
            </c:numRef>
          </c:val>
        </c:ser>
        <c:ser>
          <c:idx val="2"/>
          <c:order val="2"/>
          <c:tx>
            <c:strRef>
              <c:f>Equal_Opportunities_Progress!$J$4</c:f>
              <c:strCache>
                <c:ptCount val="1"/>
                <c:pt idx="0">
                  <c:v>Appointed</c:v>
                </c:pt>
              </c:strCache>
            </c:strRef>
          </c:tx>
          <c:invertIfNegative val="0"/>
          <c:cat>
            <c:strRef>
              <c:f>Equal_Opportunities_Progress!$G$5:$G$7</c:f>
              <c:strCache>
                <c:ptCount val="3"/>
                <c:pt idx="0">
                  <c:v>Male</c:v>
                </c:pt>
                <c:pt idx="1">
                  <c:v>Female</c:v>
                </c:pt>
                <c:pt idx="2">
                  <c:v>Undisclosed</c:v>
                </c:pt>
              </c:strCache>
            </c:strRef>
          </c:cat>
          <c:val>
            <c:numRef>
              <c:f>Equal_Opportunities_Progress!$J$5:$J$7</c:f>
              <c:numCache>
                <c:formatCode>0.00%</c:formatCode>
                <c:ptCount val="3"/>
                <c:pt idx="0">
                  <c:v>0.19800000000000001</c:v>
                </c:pt>
                <c:pt idx="1">
                  <c:v>0.8</c:v>
                </c:pt>
                <c:pt idx="2">
                  <c:v>2E-3</c:v>
                </c:pt>
              </c:numCache>
            </c:numRef>
          </c:val>
        </c:ser>
        <c:dLbls>
          <c:showLegendKey val="0"/>
          <c:showVal val="0"/>
          <c:showCatName val="0"/>
          <c:showSerName val="0"/>
          <c:showPercent val="0"/>
          <c:showBubbleSize val="0"/>
        </c:dLbls>
        <c:gapWidth val="150"/>
        <c:axId val="106228352"/>
        <c:axId val="106234240"/>
      </c:barChart>
      <c:catAx>
        <c:axId val="106228352"/>
        <c:scaling>
          <c:orientation val="minMax"/>
        </c:scaling>
        <c:delete val="0"/>
        <c:axPos val="b"/>
        <c:majorTickMark val="none"/>
        <c:minorTickMark val="none"/>
        <c:tickLblPos val="nextTo"/>
        <c:crossAx val="106234240"/>
        <c:crosses val="autoZero"/>
        <c:auto val="1"/>
        <c:lblAlgn val="ctr"/>
        <c:lblOffset val="100"/>
        <c:noMultiLvlLbl val="0"/>
      </c:catAx>
      <c:valAx>
        <c:axId val="106234240"/>
        <c:scaling>
          <c:orientation val="minMax"/>
          <c:max val="1"/>
          <c:min val="0"/>
        </c:scaling>
        <c:delete val="0"/>
        <c:axPos val="l"/>
        <c:majorGridlines/>
        <c:numFmt formatCode="0.00%" sourceLinked="1"/>
        <c:majorTickMark val="none"/>
        <c:minorTickMark val="none"/>
        <c:tickLblPos val="nextTo"/>
        <c:crossAx val="106228352"/>
        <c:crosses val="autoZero"/>
        <c:crossBetween val="between"/>
        <c:majorUnit val="0.1"/>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100"/>
              <a:t>Graph 17 - Employee Relations Cases by Gender</a:t>
            </a:r>
          </a:p>
        </c:rich>
      </c:tx>
      <c:overlay val="0"/>
    </c:title>
    <c:autoTitleDeleted val="0"/>
    <c:plotArea>
      <c:layout/>
      <c:barChart>
        <c:barDir val="col"/>
        <c:grouping val="clustered"/>
        <c:varyColors val="0"/>
        <c:ser>
          <c:idx val="0"/>
          <c:order val="0"/>
          <c:tx>
            <c:strRef>
              <c:f>'Case Analysis'!$G$6</c:f>
              <c:strCache>
                <c:ptCount val="1"/>
                <c:pt idx="0">
                  <c:v>Disciplinary</c:v>
                </c:pt>
              </c:strCache>
            </c:strRef>
          </c:tx>
          <c:invertIfNegative val="0"/>
          <c:cat>
            <c:strRef>
              <c:f>'Case Analysis'!$H$5:$I$5</c:f>
              <c:strCache>
                <c:ptCount val="2"/>
                <c:pt idx="0">
                  <c:v>Female</c:v>
                </c:pt>
                <c:pt idx="1">
                  <c:v>Male</c:v>
                </c:pt>
              </c:strCache>
            </c:strRef>
          </c:cat>
          <c:val>
            <c:numRef>
              <c:f>'Case Analysis'!$H$6:$I$6</c:f>
              <c:numCache>
                <c:formatCode>0%</c:formatCode>
                <c:ptCount val="2"/>
                <c:pt idx="0">
                  <c:v>0.68918918918918914</c:v>
                </c:pt>
                <c:pt idx="1">
                  <c:v>0.3108108108108108</c:v>
                </c:pt>
              </c:numCache>
            </c:numRef>
          </c:val>
        </c:ser>
        <c:ser>
          <c:idx val="1"/>
          <c:order val="1"/>
          <c:tx>
            <c:strRef>
              <c:f>'Case Analysis'!$G$7</c:f>
              <c:strCache>
                <c:ptCount val="1"/>
                <c:pt idx="0">
                  <c:v>Grievance</c:v>
                </c:pt>
              </c:strCache>
            </c:strRef>
          </c:tx>
          <c:invertIfNegative val="0"/>
          <c:cat>
            <c:strRef>
              <c:f>'Case Analysis'!$H$5:$I$5</c:f>
              <c:strCache>
                <c:ptCount val="2"/>
                <c:pt idx="0">
                  <c:v>Female</c:v>
                </c:pt>
                <c:pt idx="1">
                  <c:v>Male</c:v>
                </c:pt>
              </c:strCache>
            </c:strRef>
          </c:cat>
          <c:val>
            <c:numRef>
              <c:f>'Case Analysis'!$H$7:$I$7</c:f>
              <c:numCache>
                <c:formatCode>0%</c:formatCode>
                <c:ptCount val="2"/>
                <c:pt idx="0">
                  <c:v>0.84210526315789469</c:v>
                </c:pt>
                <c:pt idx="1">
                  <c:v>0.15789473684210525</c:v>
                </c:pt>
              </c:numCache>
            </c:numRef>
          </c:val>
        </c:ser>
        <c:ser>
          <c:idx val="2"/>
          <c:order val="2"/>
          <c:tx>
            <c:strRef>
              <c:f>'Case Analysis'!$G$8</c:f>
              <c:strCache>
                <c:ptCount val="1"/>
                <c:pt idx="0">
                  <c:v>Workforce</c:v>
                </c:pt>
              </c:strCache>
            </c:strRef>
          </c:tx>
          <c:invertIfNegative val="0"/>
          <c:cat>
            <c:strRef>
              <c:f>'Case Analysis'!$H$5:$I$5</c:f>
              <c:strCache>
                <c:ptCount val="2"/>
                <c:pt idx="0">
                  <c:v>Female</c:v>
                </c:pt>
                <c:pt idx="1">
                  <c:v>Male</c:v>
                </c:pt>
              </c:strCache>
            </c:strRef>
          </c:cat>
          <c:val>
            <c:numRef>
              <c:f>'Case Analysis'!$H$8:$I$8</c:f>
              <c:numCache>
                <c:formatCode>0%</c:formatCode>
                <c:ptCount val="2"/>
                <c:pt idx="0">
                  <c:v>0.79790000000000005</c:v>
                </c:pt>
                <c:pt idx="1">
                  <c:v>0.2021</c:v>
                </c:pt>
              </c:numCache>
            </c:numRef>
          </c:val>
        </c:ser>
        <c:dLbls>
          <c:showLegendKey val="0"/>
          <c:showVal val="0"/>
          <c:showCatName val="0"/>
          <c:showSerName val="0"/>
          <c:showPercent val="0"/>
          <c:showBubbleSize val="0"/>
        </c:dLbls>
        <c:gapWidth val="150"/>
        <c:axId val="106248064"/>
        <c:axId val="106249600"/>
      </c:barChart>
      <c:catAx>
        <c:axId val="106248064"/>
        <c:scaling>
          <c:orientation val="minMax"/>
        </c:scaling>
        <c:delete val="0"/>
        <c:axPos val="b"/>
        <c:majorTickMark val="none"/>
        <c:minorTickMark val="none"/>
        <c:tickLblPos val="nextTo"/>
        <c:crossAx val="106249600"/>
        <c:crosses val="autoZero"/>
        <c:auto val="1"/>
        <c:lblAlgn val="ctr"/>
        <c:lblOffset val="100"/>
        <c:noMultiLvlLbl val="0"/>
      </c:catAx>
      <c:valAx>
        <c:axId val="106249600"/>
        <c:scaling>
          <c:orientation val="minMax"/>
        </c:scaling>
        <c:delete val="0"/>
        <c:axPos val="l"/>
        <c:majorGridlines/>
        <c:numFmt formatCode="0%" sourceLinked="1"/>
        <c:majorTickMark val="none"/>
        <c:minorTickMark val="none"/>
        <c:tickLblPos val="nextTo"/>
        <c:crossAx val="106248064"/>
        <c:crosses val="autoZero"/>
        <c:crossBetween val="between"/>
      </c:valAx>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18 - Disability Comparison Jan '15 to Sep '15</a:t>
            </a:r>
          </a:p>
        </c:rich>
      </c:tx>
      <c:overlay val="0"/>
    </c:title>
    <c:autoTitleDeleted val="0"/>
    <c:plotArea>
      <c:layout/>
      <c:barChart>
        <c:barDir val="col"/>
        <c:grouping val="clustered"/>
        <c:varyColors val="0"/>
        <c:ser>
          <c:idx val="0"/>
          <c:order val="0"/>
          <c:tx>
            <c:strRef>
              <c:f>'Trust Population'!$C$164</c:f>
              <c:strCache>
                <c:ptCount val="1"/>
                <c:pt idx="0">
                  <c:v>Sep-15</c:v>
                </c:pt>
              </c:strCache>
            </c:strRef>
          </c:tx>
          <c:invertIfNegative val="0"/>
          <c:cat>
            <c:strRef>
              <c:f>'Trust Population'!$B$165:$B$168</c:f>
              <c:strCache>
                <c:ptCount val="4"/>
                <c:pt idx="0">
                  <c:v>No</c:v>
                </c:pt>
                <c:pt idx="1">
                  <c:v>Not Declared</c:v>
                </c:pt>
                <c:pt idx="2">
                  <c:v>Undefined</c:v>
                </c:pt>
                <c:pt idx="3">
                  <c:v>Yes</c:v>
                </c:pt>
              </c:strCache>
            </c:strRef>
          </c:cat>
          <c:val>
            <c:numRef>
              <c:f>'Trust Population'!$C$165:$C$168</c:f>
              <c:numCache>
                <c:formatCode>0.00%</c:formatCode>
                <c:ptCount val="4"/>
                <c:pt idx="0">
                  <c:v>0.74313267095265922</c:v>
                </c:pt>
                <c:pt idx="1">
                  <c:v>0.18166764075589323</c:v>
                </c:pt>
                <c:pt idx="2">
                  <c:v>5.2698227157607636E-2</c:v>
                </c:pt>
                <c:pt idx="3">
                  <c:v>2.250146113383986E-2</c:v>
                </c:pt>
              </c:numCache>
            </c:numRef>
          </c:val>
        </c:ser>
        <c:ser>
          <c:idx val="1"/>
          <c:order val="1"/>
          <c:tx>
            <c:strRef>
              <c:f>'Trust Population'!$D$164</c:f>
              <c:strCache>
                <c:ptCount val="1"/>
                <c:pt idx="0">
                  <c:v>Jan-15</c:v>
                </c:pt>
              </c:strCache>
            </c:strRef>
          </c:tx>
          <c:invertIfNegative val="0"/>
          <c:cat>
            <c:strRef>
              <c:f>'Trust Population'!$B$165:$B$168</c:f>
              <c:strCache>
                <c:ptCount val="4"/>
                <c:pt idx="0">
                  <c:v>No</c:v>
                </c:pt>
                <c:pt idx="1">
                  <c:v>Not Declared</c:v>
                </c:pt>
                <c:pt idx="2">
                  <c:v>Undefined</c:v>
                </c:pt>
                <c:pt idx="3">
                  <c:v>Yes</c:v>
                </c:pt>
              </c:strCache>
            </c:strRef>
          </c:cat>
          <c:val>
            <c:numRef>
              <c:f>'Trust Population'!$D$165:$D$168</c:f>
              <c:numCache>
                <c:formatCode>0.00%</c:formatCode>
                <c:ptCount val="4"/>
                <c:pt idx="0">
                  <c:v>0.72699999999999998</c:v>
                </c:pt>
                <c:pt idx="1">
                  <c:v>0.193</c:v>
                </c:pt>
                <c:pt idx="2">
                  <c:v>5.8000000000000003E-2</c:v>
                </c:pt>
                <c:pt idx="3">
                  <c:v>2.1999999999999999E-2</c:v>
                </c:pt>
              </c:numCache>
            </c:numRef>
          </c:val>
        </c:ser>
        <c:dLbls>
          <c:showLegendKey val="0"/>
          <c:showVal val="0"/>
          <c:showCatName val="0"/>
          <c:showSerName val="0"/>
          <c:showPercent val="0"/>
          <c:showBubbleSize val="0"/>
        </c:dLbls>
        <c:gapWidth val="150"/>
        <c:axId val="106295296"/>
        <c:axId val="106296832"/>
      </c:barChart>
      <c:catAx>
        <c:axId val="106295296"/>
        <c:scaling>
          <c:orientation val="minMax"/>
        </c:scaling>
        <c:delete val="0"/>
        <c:axPos val="b"/>
        <c:numFmt formatCode="mmm\-yy" sourceLinked="1"/>
        <c:majorTickMark val="none"/>
        <c:minorTickMark val="none"/>
        <c:tickLblPos val="nextTo"/>
        <c:crossAx val="106296832"/>
        <c:crosses val="autoZero"/>
        <c:auto val="1"/>
        <c:lblAlgn val="ctr"/>
        <c:lblOffset val="100"/>
        <c:noMultiLvlLbl val="0"/>
      </c:catAx>
      <c:valAx>
        <c:axId val="106296832"/>
        <c:scaling>
          <c:orientation val="minMax"/>
        </c:scaling>
        <c:delete val="0"/>
        <c:axPos val="l"/>
        <c:majorGridlines/>
        <c:numFmt formatCode="0.00%" sourceLinked="1"/>
        <c:majorTickMark val="none"/>
        <c:minorTickMark val="none"/>
        <c:tickLblPos val="nextTo"/>
        <c:crossAx val="106295296"/>
        <c:crosses val="autoZero"/>
        <c:crossBetween val="between"/>
      </c:valAx>
    </c:plotArea>
    <c:legend>
      <c:legendPos val="r"/>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19 - Percentage of Staff by Pay band and Disability</a:t>
            </a:r>
          </a:p>
        </c:rich>
      </c:tx>
      <c:overlay val="0"/>
    </c:title>
    <c:autoTitleDeleted val="0"/>
    <c:plotArea>
      <c:layout/>
      <c:barChart>
        <c:barDir val="col"/>
        <c:grouping val="percentStacked"/>
        <c:varyColors val="0"/>
        <c:ser>
          <c:idx val="0"/>
          <c:order val="0"/>
          <c:tx>
            <c:strRef>
              <c:f>'Band Analysis'!$C$904</c:f>
              <c:strCache>
                <c:ptCount val="1"/>
                <c:pt idx="0">
                  <c:v>No</c:v>
                </c:pt>
              </c:strCache>
            </c:strRef>
          </c:tx>
          <c:invertIfNegative val="0"/>
          <c:cat>
            <c:strRef>
              <c:f>'Band Analysis'!$B$905:$B$920</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Consultant</c:v>
                </c:pt>
                <c:pt idx="13">
                  <c:v>Junior Medic</c:v>
                </c:pt>
                <c:pt idx="14">
                  <c:v>Other Medic</c:v>
                </c:pt>
                <c:pt idx="15">
                  <c:v>SMP</c:v>
                </c:pt>
              </c:strCache>
            </c:strRef>
          </c:cat>
          <c:val>
            <c:numRef>
              <c:f>'Band Analysis'!$C$905:$C$920</c:f>
              <c:numCache>
                <c:formatCode>0.00%</c:formatCode>
                <c:ptCount val="16"/>
                <c:pt idx="0">
                  <c:v>0.68325791855203621</c:v>
                </c:pt>
                <c:pt idx="1">
                  <c:v>0.80266814897165095</c:v>
                </c:pt>
                <c:pt idx="2">
                  <c:v>0.76595744680851063</c:v>
                </c:pt>
                <c:pt idx="3">
                  <c:v>0.73474470734744712</c:v>
                </c:pt>
                <c:pt idx="4">
                  <c:v>0.7754915409236397</c:v>
                </c:pt>
                <c:pt idx="5">
                  <c:v>0.77109181141439209</c:v>
                </c:pt>
                <c:pt idx="6">
                  <c:v>0.76048565121412803</c:v>
                </c:pt>
                <c:pt idx="7">
                  <c:v>0.70143884892086328</c:v>
                </c:pt>
                <c:pt idx="8">
                  <c:v>0.76530612244897955</c:v>
                </c:pt>
                <c:pt idx="9">
                  <c:v>0.8</c:v>
                </c:pt>
                <c:pt idx="10">
                  <c:v>0.83333333333333337</c:v>
                </c:pt>
                <c:pt idx="11">
                  <c:v>0.88888888888888884</c:v>
                </c:pt>
                <c:pt idx="12">
                  <c:v>0.6682134570765661</c:v>
                </c:pt>
                <c:pt idx="13">
                  <c:v>0.43726235741444869</c:v>
                </c:pt>
                <c:pt idx="14">
                  <c:v>0.54140127388535031</c:v>
                </c:pt>
                <c:pt idx="15">
                  <c:v>0.8</c:v>
                </c:pt>
              </c:numCache>
            </c:numRef>
          </c:val>
        </c:ser>
        <c:ser>
          <c:idx val="1"/>
          <c:order val="1"/>
          <c:tx>
            <c:strRef>
              <c:f>'Band Analysis'!$D$904</c:f>
              <c:strCache>
                <c:ptCount val="1"/>
                <c:pt idx="0">
                  <c:v>Not Declared</c:v>
                </c:pt>
              </c:strCache>
            </c:strRef>
          </c:tx>
          <c:invertIfNegative val="0"/>
          <c:cat>
            <c:strRef>
              <c:f>'Band Analysis'!$B$905:$B$920</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Consultant</c:v>
                </c:pt>
                <c:pt idx="13">
                  <c:v>Junior Medic</c:v>
                </c:pt>
                <c:pt idx="14">
                  <c:v>Other Medic</c:v>
                </c:pt>
                <c:pt idx="15">
                  <c:v>SMP</c:v>
                </c:pt>
              </c:strCache>
            </c:strRef>
          </c:cat>
          <c:val>
            <c:numRef>
              <c:f>'Band Analysis'!$D$905:$D$920</c:f>
              <c:numCache>
                <c:formatCode>0.00%</c:formatCode>
                <c:ptCount val="16"/>
                <c:pt idx="0">
                  <c:v>0.25565610859728505</c:v>
                </c:pt>
                <c:pt idx="1">
                  <c:v>0.12229016120066703</c:v>
                </c:pt>
                <c:pt idx="2">
                  <c:v>0.16808510638297872</c:v>
                </c:pt>
                <c:pt idx="3">
                  <c:v>0.17434620174346202</c:v>
                </c:pt>
                <c:pt idx="4">
                  <c:v>0.15500685871056241</c:v>
                </c:pt>
                <c:pt idx="5">
                  <c:v>0.14081885856079404</c:v>
                </c:pt>
                <c:pt idx="6">
                  <c:v>0.15894039735099338</c:v>
                </c:pt>
                <c:pt idx="7">
                  <c:v>0.20863309352517986</c:v>
                </c:pt>
                <c:pt idx="8">
                  <c:v>0.1326530612244898</c:v>
                </c:pt>
                <c:pt idx="9">
                  <c:v>7.4999999999999997E-2</c:v>
                </c:pt>
                <c:pt idx="10">
                  <c:v>4.1666666666666664E-2</c:v>
                </c:pt>
                <c:pt idx="11">
                  <c:v>5.5555555555555552E-2</c:v>
                </c:pt>
                <c:pt idx="12">
                  <c:v>0.22737819025522041</c:v>
                </c:pt>
                <c:pt idx="13">
                  <c:v>0.54752851711026618</c:v>
                </c:pt>
                <c:pt idx="14">
                  <c:v>0.39490445859872614</c:v>
                </c:pt>
                <c:pt idx="15">
                  <c:v>0</c:v>
                </c:pt>
              </c:numCache>
            </c:numRef>
          </c:val>
        </c:ser>
        <c:ser>
          <c:idx val="2"/>
          <c:order val="2"/>
          <c:tx>
            <c:strRef>
              <c:f>'Band Analysis'!$E$904</c:f>
              <c:strCache>
                <c:ptCount val="1"/>
                <c:pt idx="0">
                  <c:v>Undefined</c:v>
                </c:pt>
              </c:strCache>
            </c:strRef>
          </c:tx>
          <c:invertIfNegative val="0"/>
          <c:cat>
            <c:strRef>
              <c:f>'Band Analysis'!$B$905:$B$920</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Consultant</c:v>
                </c:pt>
                <c:pt idx="13">
                  <c:v>Junior Medic</c:v>
                </c:pt>
                <c:pt idx="14">
                  <c:v>Other Medic</c:v>
                </c:pt>
                <c:pt idx="15">
                  <c:v>SMP</c:v>
                </c:pt>
              </c:strCache>
            </c:strRef>
          </c:cat>
          <c:val>
            <c:numRef>
              <c:f>'Band Analysis'!$E$905:$E$920</c:f>
              <c:numCache>
                <c:formatCode>0.00%</c:formatCode>
                <c:ptCount val="16"/>
                <c:pt idx="0">
                  <c:v>2.0361990950226245E-2</c:v>
                </c:pt>
                <c:pt idx="1">
                  <c:v>5.00277932184547E-2</c:v>
                </c:pt>
                <c:pt idx="2">
                  <c:v>4.1489361702127657E-2</c:v>
                </c:pt>
                <c:pt idx="3">
                  <c:v>6.6002490660024907E-2</c:v>
                </c:pt>
                <c:pt idx="4">
                  <c:v>4.5724737082761771E-2</c:v>
                </c:pt>
                <c:pt idx="5">
                  <c:v>6.265508684863523E-2</c:v>
                </c:pt>
                <c:pt idx="6">
                  <c:v>6.4017660044150104E-2</c:v>
                </c:pt>
                <c:pt idx="7">
                  <c:v>6.83453237410072E-2</c:v>
                </c:pt>
                <c:pt idx="8">
                  <c:v>8.1632653061224483E-2</c:v>
                </c:pt>
                <c:pt idx="9">
                  <c:v>0.1</c:v>
                </c:pt>
                <c:pt idx="10">
                  <c:v>4.1666666666666664E-2</c:v>
                </c:pt>
                <c:pt idx="11">
                  <c:v>0</c:v>
                </c:pt>
                <c:pt idx="12">
                  <c:v>9.2807424593967514E-2</c:v>
                </c:pt>
                <c:pt idx="13">
                  <c:v>1.5209125475285171E-2</c:v>
                </c:pt>
                <c:pt idx="14">
                  <c:v>6.3694267515923567E-2</c:v>
                </c:pt>
                <c:pt idx="15">
                  <c:v>0.2</c:v>
                </c:pt>
              </c:numCache>
            </c:numRef>
          </c:val>
        </c:ser>
        <c:ser>
          <c:idx val="3"/>
          <c:order val="3"/>
          <c:tx>
            <c:strRef>
              <c:f>'Band Analysis'!$F$904</c:f>
              <c:strCache>
                <c:ptCount val="1"/>
                <c:pt idx="0">
                  <c:v>Yes</c:v>
                </c:pt>
              </c:strCache>
            </c:strRef>
          </c:tx>
          <c:invertIfNegative val="0"/>
          <c:cat>
            <c:strRef>
              <c:f>'Band Analysis'!$B$905:$B$920</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Consultant</c:v>
                </c:pt>
                <c:pt idx="13">
                  <c:v>Junior Medic</c:v>
                </c:pt>
                <c:pt idx="14">
                  <c:v>Other Medic</c:v>
                </c:pt>
                <c:pt idx="15">
                  <c:v>SMP</c:v>
                </c:pt>
              </c:strCache>
            </c:strRef>
          </c:cat>
          <c:val>
            <c:numRef>
              <c:f>'Band Analysis'!$F$905:$F$920</c:f>
              <c:numCache>
                <c:formatCode>0.00%</c:formatCode>
                <c:ptCount val="16"/>
                <c:pt idx="0">
                  <c:v>4.072398190045249E-2</c:v>
                </c:pt>
                <c:pt idx="1">
                  <c:v>2.501389660922735E-2</c:v>
                </c:pt>
                <c:pt idx="2">
                  <c:v>2.4468085106382979E-2</c:v>
                </c:pt>
                <c:pt idx="3">
                  <c:v>2.4906600249066001E-2</c:v>
                </c:pt>
                <c:pt idx="4">
                  <c:v>2.3776863283036121E-2</c:v>
                </c:pt>
                <c:pt idx="5">
                  <c:v>2.5434243176178661E-2</c:v>
                </c:pt>
                <c:pt idx="6">
                  <c:v>1.6556291390728478E-2</c:v>
                </c:pt>
                <c:pt idx="7">
                  <c:v>2.1582733812949641E-2</c:v>
                </c:pt>
                <c:pt idx="8">
                  <c:v>2.0408163265306121E-2</c:v>
                </c:pt>
                <c:pt idx="9">
                  <c:v>2.5000000000000001E-2</c:v>
                </c:pt>
                <c:pt idx="10">
                  <c:v>8.3333333333333329E-2</c:v>
                </c:pt>
                <c:pt idx="11">
                  <c:v>5.5555555555555552E-2</c:v>
                </c:pt>
                <c:pt idx="12">
                  <c:v>1.1600928074245939E-2</c:v>
                </c:pt>
                <c:pt idx="13">
                  <c:v>0</c:v>
                </c:pt>
                <c:pt idx="14">
                  <c:v>0</c:v>
                </c:pt>
                <c:pt idx="15">
                  <c:v>0</c:v>
                </c:pt>
              </c:numCache>
            </c:numRef>
          </c:val>
        </c:ser>
        <c:dLbls>
          <c:showLegendKey val="0"/>
          <c:showVal val="0"/>
          <c:showCatName val="0"/>
          <c:showSerName val="0"/>
          <c:showPercent val="0"/>
          <c:showBubbleSize val="0"/>
        </c:dLbls>
        <c:gapWidth val="55"/>
        <c:overlap val="100"/>
        <c:axId val="106344832"/>
        <c:axId val="106346368"/>
      </c:barChart>
      <c:catAx>
        <c:axId val="106344832"/>
        <c:scaling>
          <c:orientation val="minMax"/>
        </c:scaling>
        <c:delete val="0"/>
        <c:axPos val="b"/>
        <c:numFmt formatCode="General" sourceLinked="1"/>
        <c:majorTickMark val="none"/>
        <c:minorTickMark val="none"/>
        <c:tickLblPos val="nextTo"/>
        <c:crossAx val="106346368"/>
        <c:crosses val="autoZero"/>
        <c:auto val="1"/>
        <c:lblAlgn val="ctr"/>
        <c:lblOffset val="100"/>
        <c:noMultiLvlLbl val="0"/>
      </c:catAx>
      <c:valAx>
        <c:axId val="106346368"/>
        <c:scaling>
          <c:orientation val="minMax"/>
        </c:scaling>
        <c:delete val="0"/>
        <c:axPos val="l"/>
        <c:majorGridlines/>
        <c:numFmt formatCode="0%" sourceLinked="1"/>
        <c:majorTickMark val="none"/>
        <c:minorTickMark val="none"/>
        <c:tickLblPos val="nextTo"/>
        <c:crossAx val="10634483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a:t>
            </a:r>
            <a:r>
              <a:rPr lang="en-GB" sz="1200" baseline="0"/>
              <a:t> 2 - Ethnicity Profile by Staff Group</a:t>
            </a:r>
            <a:endParaRPr lang="en-GB" sz="1200"/>
          </a:p>
        </c:rich>
      </c:tx>
      <c:overlay val="0"/>
    </c:title>
    <c:autoTitleDeleted val="0"/>
    <c:plotArea>
      <c:layout/>
      <c:barChart>
        <c:barDir val="col"/>
        <c:grouping val="clustered"/>
        <c:varyColors val="0"/>
        <c:ser>
          <c:idx val="0"/>
          <c:order val="0"/>
          <c:tx>
            <c:strRef>
              <c:f>'Staff Group Analysis'!$H$141</c:f>
              <c:strCache>
                <c:ptCount val="1"/>
                <c:pt idx="0">
                  <c:v>BME</c:v>
                </c:pt>
              </c:strCache>
            </c:strRef>
          </c:tx>
          <c:invertIfNegative val="0"/>
          <c:cat>
            <c:strRef>
              <c:f>'Staff Group Analysis'!$G$142:$G$153</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Analysis'!$H$142:$H$153</c:f>
              <c:numCache>
                <c:formatCode>0%</c:formatCode>
                <c:ptCount val="12"/>
                <c:pt idx="0">
                  <c:v>0.17328116266070431</c:v>
                </c:pt>
                <c:pt idx="1">
                  <c:v>0.1864406779661017</c:v>
                </c:pt>
                <c:pt idx="2">
                  <c:v>0.27768166089965396</c:v>
                </c:pt>
                <c:pt idx="3">
                  <c:v>0.55089820359281438</c:v>
                </c:pt>
                <c:pt idx="4">
                  <c:v>0.11494252873563218</c:v>
                </c:pt>
                <c:pt idx="5">
                  <c:v>0.51315789473684215</c:v>
                </c:pt>
                <c:pt idx="6">
                  <c:v>0.17727272727272728</c:v>
                </c:pt>
                <c:pt idx="7">
                  <c:v>0.24313725490196078</c:v>
                </c:pt>
                <c:pt idx="8">
                  <c:v>0.28940568475452194</c:v>
                </c:pt>
                <c:pt idx="9">
                  <c:v>0.14285714285714285</c:v>
                </c:pt>
                <c:pt idx="10">
                  <c:v>0.54511970534069987</c:v>
                </c:pt>
                <c:pt idx="11">
                  <c:v>0.15231788079470199</c:v>
                </c:pt>
              </c:numCache>
            </c:numRef>
          </c:val>
        </c:ser>
        <c:ser>
          <c:idx val="1"/>
          <c:order val="1"/>
          <c:tx>
            <c:strRef>
              <c:f>'Staff Group Analysis'!$I$141</c:f>
              <c:strCache>
                <c:ptCount val="1"/>
                <c:pt idx="0">
                  <c:v>White</c:v>
                </c:pt>
              </c:strCache>
            </c:strRef>
          </c:tx>
          <c:invertIfNegative val="0"/>
          <c:cat>
            <c:strRef>
              <c:f>'Staff Group Analysis'!$G$142:$G$153</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Analysis'!$I$142:$I$153</c:f>
              <c:numCache>
                <c:formatCode>0%</c:formatCode>
                <c:ptCount val="12"/>
                <c:pt idx="0">
                  <c:v>0.82671883733929574</c:v>
                </c:pt>
                <c:pt idx="1">
                  <c:v>0.81355932203389836</c:v>
                </c:pt>
                <c:pt idx="2">
                  <c:v>0.72231833910034604</c:v>
                </c:pt>
                <c:pt idx="3">
                  <c:v>0.44910179640718562</c:v>
                </c:pt>
                <c:pt idx="4">
                  <c:v>0.88505747126436785</c:v>
                </c:pt>
                <c:pt idx="5">
                  <c:v>0.48684210526315791</c:v>
                </c:pt>
                <c:pt idx="6">
                  <c:v>0.82272727272727275</c:v>
                </c:pt>
                <c:pt idx="7">
                  <c:v>0.75686274509803919</c:v>
                </c:pt>
                <c:pt idx="8">
                  <c:v>0.710594315245478</c:v>
                </c:pt>
                <c:pt idx="9">
                  <c:v>0.8571428571428571</c:v>
                </c:pt>
                <c:pt idx="10">
                  <c:v>0.45488029465930019</c:v>
                </c:pt>
                <c:pt idx="11">
                  <c:v>0.84768211920529801</c:v>
                </c:pt>
              </c:numCache>
            </c:numRef>
          </c:val>
        </c:ser>
        <c:dLbls>
          <c:showLegendKey val="0"/>
          <c:showVal val="0"/>
          <c:showCatName val="0"/>
          <c:showSerName val="0"/>
          <c:showPercent val="0"/>
          <c:showBubbleSize val="0"/>
        </c:dLbls>
        <c:gapWidth val="150"/>
        <c:axId val="105437056"/>
        <c:axId val="105438592"/>
      </c:barChart>
      <c:catAx>
        <c:axId val="105437056"/>
        <c:scaling>
          <c:orientation val="minMax"/>
        </c:scaling>
        <c:delete val="0"/>
        <c:axPos val="b"/>
        <c:majorTickMark val="none"/>
        <c:minorTickMark val="none"/>
        <c:tickLblPos val="nextTo"/>
        <c:crossAx val="105438592"/>
        <c:crosses val="autoZero"/>
        <c:auto val="1"/>
        <c:lblAlgn val="ctr"/>
        <c:lblOffset val="100"/>
        <c:noMultiLvlLbl val="0"/>
      </c:catAx>
      <c:valAx>
        <c:axId val="105438592"/>
        <c:scaling>
          <c:orientation val="minMax"/>
        </c:scaling>
        <c:delete val="0"/>
        <c:axPos val="l"/>
        <c:majorGridlines/>
        <c:numFmt formatCode="0%" sourceLinked="1"/>
        <c:majorTickMark val="none"/>
        <c:minorTickMark val="none"/>
        <c:tickLblPos val="nextTo"/>
        <c:crossAx val="105437056"/>
        <c:crosses val="autoZero"/>
        <c:crossBetween val="between"/>
      </c:valAx>
    </c:plotArea>
    <c:legend>
      <c:legendPos val="r"/>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100"/>
              <a:t>Graph 20 - Vacancy Analysis by Disability</a:t>
            </a:r>
            <a:r>
              <a:rPr lang="en-GB" sz="1100" baseline="0"/>
              <a:t> Status</a:t>
            </a:r>
            <a:endParaRPr lang="en-GB" sz="1100"/>
          </a:p>
        </c:rich>
      </c:tx>
      <c:layout>
        <c:manualLayout>
          <c:xMode val="edge"/>
          <c:yMode val="edge"/>
          <c:x val="0.20585365853658535"/>
          <c:y val="2.1220159151193633E-2"/>
        </c:manualLayout>
      </c:layout>
      <c:overlay val="0"/>
    </c:title>
    <c:autoTitleDeleted val="0"/>
    <c:plotArea>
      <c:layout/>
      <c:barChart>
        <c:barDir val="col"/>
        <c:grouping val="clustered"/>
        <c:varyColors val="0"/>
        <c:ser>
          <c:idx val="0"/>
          <c:order val="0"/>
          <c:tx>
            <c:strRef>
              <c:f>Equal_Opportunities_Progress!$H$9</c:f>
              <c:strCache>
                <c:ptCount val="1"/>
                <c:pt idx="0">
                  <c:v>Applied</c:v>
                </c:pt>
              </c:strCache>
            </c:strRef>
          </c:tx>
          <c:invertIfNegative val="0"/>
          <c:cat>
            <c:strRef>
              <c:f>Equal_Opportunities_Progress!$G$10:$G$12</c:f>
              <c:strCache>
                <c:ptCount val="3"/>
                <c:pt idx="0">
                  <c:v>Yes</c:v>
                </c:pt>
                <c:pt idx="1">
                  <c:v>No</c:v>
                </c:pt>
                <c:pt idx="2">
                  <c:v>Undisclosed</c:v>
                </c:pt>
              </c:strCache>
            </c:strRef>
          </c:cat>
          <c:val>
            <c:numRef>
              <c:f>Equal_Opportunities_Progress!$H$10:$H$12</c:f>
              <c:numCache>
                <c:formatCode>0.00%</c:formatCode>
                <c:ptCount val="3"/>
                <c:pt idx="0">
                  <c:v>3.9E-2</c:v>
                </c:pt>
                <c:pt idx="1">
                  <c:v>0.95</c:v>
                </c:pt>
                <c:pt idx="2">
                  <c:v>1.0999999999999999E-2</c:v>
                </c:pt>
              </c:numCache>
            </c:numRef>
          </c:val>
        </c:ser>
        <c:ser>
          <c:idx val="1"/>
          <c:order val="1"/>
          <c:tx>
            <c:strRef>
              <c:f>Equal_Opportunities_Progress!$I$9</c:f>
              <c:strCache>
                <c:ptCount val="1"/>
                <c:pt idx="0">
                  <c:v>Shortlisted</c:v>
                </c:pt>
              </c:strCache>
            </c:strRef>
          </c:tx>
          <c:invertIfNegative val="0"/>
          <c:cat>
            <c:strRef>
              <c:f>Equal_Opportunities_Progress!$G$10:$G$12</c:f>
              <c:strCache>
                <c:ptCount val="3"/>
                <c:pt idx="0">
                  <c:v>Yes</c:v>
                </c:pt>
                <c:pt idx="1">
                  <c:v>No</c:v>
                </c:pt>
                <c:pt idx="2">
                  <c:v>Undisclosed</c:v>
                </c:pt>
              </c:strCache>
            </c:strRef>
          </c:cat>
          <c:val>
            <c:numRef>
              <c:f>Equal_Opportunities_Progress!$I$10:$I$12</c:f>
              <c:numCache>
                <c:formatCode>0.00%</c:formatCode>
                <c:ptCount val="3"/>
                <c:pt idx="0">
                  <c:v>4.3999999999999997E-2</c:v>
                </c:pt>
                <c:pt idx="1">
                  <c:v>0.94599999999999995</c:v>
                </c:pt>
                <c:pt idx="2">
                  <c:v>0.01</c:v>
                </c:pt>
              </c:numCache>
            </c:numRef>
          </c:val>
        </c:ser>
        <c:ser>
          <c:idx val="2"/>
          <c:order val="2"/>
          <c:tx>
            <c:strRef>
              <c:f>Equal_Opportunities_Progress!$J$9</c:f>
              <c:strCache>
                <c:ptCount val="1"/>
                <c:pt idx="0">
                  <c:v>Appointed</c:v>
                </c:pt>
              </c:strCache>
            </c:strRef>
          </c:tx>
          <c:invertIfNegative val="0"/>
          <c:cat>
            <c:strRef>
              <c:f>Equal_Opportunities_Progress!$G$10:$G$12</c:f>
              <c:strCache>
                <c:ptCount val="3"/>
                <c:pt idx="0">
                  <c:v>Yes</c:v>
                </c:pt>
                <c:pt idx="1">
                  <c:v>No</c:v>
                </c:pt>
                <c:pt idx="2">
                  <c:v>Undisclosed</c:v>
                </c:pt>
              </c:strCache>
            </c:strRef>
          </c:cat>
          <c:val>
            <c:numRef>
              <c:f>Equal_Opportunities_Progress!$J$10:$J$12</c:f>
              <c:numCache>
                <c:formatCode>0.00%</c:formatCode>
                <c:ptCount val="3"/>
                <c:pt idx="0">
                  <c:v>3.2000000000000001E-2</c:v>
                </c:pt>
                <c:pt idx="1">
                  <c:v>0.96099999999999997</c:v>
                </c:pt>
                <c:pt idx="2">
                  <c:v>6.0000000000000001E-3</c:v>
                </c:pt>
              </c:numCache>
            </c:numRef>
          </c:val>
        </c:ser>
        <c:dLbls>
          <c:showLegendKey val="0"/>
          <c:showVal val="0"/>
          <c:showCatName val="0"/>
          <c:showSerName val="0"/>
          <c:showPercent val="0"/>
          <c:showBubbleSize val="0"/>
        </c:dLbls>
        <c:gapWidth val="150"/>
        <c:axId val="106545536"/>
        <c:axId val="106547072"/>
      </c:barChart>
      <c:catAx>
        <c:axId val="106545536"/>
        <c:scaling>
          <c:orientation val="minMax"/>
        </c:scaling>
        <c:delete val="0"/>
        <c:axPos val="b"/>
        <c:majorTickMark val="none"/>
        <c:minorTickMark val="none"/>
        <c:tickLblPos val="nextTo"/>
        <c:crossAx val="106547072"/>
        <c:crosses val="autoZero"/>
        <c:auto val="1"/>
        <c:lblAlgn val="ctr"/>
        <c:lblOffset val="100"/>
        <c:noMultiLvlLbl val="0"/>
      </c:catAx>
      <c:valAx>
        <c:axId val="106547072"/>
        <c:scaling>
          <c:orientation val="minMax"/>
          <c:max val="1"/>
          <c:min val="0"/>
        </c:scaling>
        <c:delete val="0"/>
        <c:axPos val="l"/>
        <c:majorGridlines/>
        <c:numFmt formatCode="0.00%" sourceLinked="1"/>
        <c:majorTickMark val="none"/>
        <c:minorTickMark val="none"/>
        <c:tickLblPos val="nextTo"/>
        <c:crossAx val="106545536"/>
        <c:crosses val="autoZero"/>
        <c:crossBetween val="between"/>
        <c:majorUnit val="0.1"/>
        <c:minorUnit val="4.0000000000000008E-2"/>
      </c:valAx>
    </c:plotArea>
    <c:legend>
      <c:legendPos val="r"/>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21 - Appraisal Completion by Disability Status</a:t>
            </a:r>
          </a:p>
        </c:rich>
      </c:tx>
      <c:overlay val="0"/>
    </c:title>
    <c:autoTitleDeleted val="0"/>
    <c:plotArea>
      <c:layout/>
      <c:barChart>
        <c:barDir val="col"/>
        <c:grouping val="clustered"/>
        <c:varyColors val="0"/>
        <c:ser>
          <c:idx val="0"/>
          <c:order val="0"/>
          <c:tx>
            <c:strRef>
              <c:f>'Appraisal Analysis'!$C$132</c:f>
              <c:strCache>
                <c:ptCount val="1"/>
                <c:pt idx="0">
                  <c:v>Completed</c:v>
                </c:pt>
              </c:strCache>
            </c:strRef>
          </c:tx>
          <c:invertIfNegative val="0"/>
          <c:cat>
            <c:strRef>
              <c:f>'Appraisal Analysis'!$B$133:$B$136</c:f>
              <c:strCache>
                <c:ptCount val="4"/>
                <c:pt idx="0">
                  <c:v>Not Disabled</c:v>
                </c:pt>
                <c:pt idx="1">
                  <c:v>Not Declared</c:v>
                </c:pt>
                <c:pt idx="2">
                  <c:v>Undefined</c:v>
                </c:pt>
                <c:pt idx="3">
                  <c:v>Disabled</c:v>
                </c:pt>
              </c:strCache>
            </c:strRef>
          </c:cat>
          <c:val>
            <c:numRef>
              <c:f>'Appraisal Analysis'!$C$133:$C$136</c:f>
              <c:numCache>
                <c:formatCode>0.00%</c:formatCode>
                <c:ptCount val="4"/>
                <c:pt idx="0">
                  <c:v>0.66551667488089372</c:v>
                </c:pt>
                <c:pt idx="1">
                  <c:v>0.67238912732474965</c:v>
                </c:pt>
                <c:pt idx="2">
                  <c:v>0.61693548387096775</c:v>
                </c:pt>
                <c:pt idx="3">
                  <c:v>0.61904761904761907</c:v>
                </c:pt>
              </c:numCache>
            </c:numRef>
          </c:val>
        </c:ser>
        <c:dLbls>
          <c:showLegendKey val="0"/>
          <c:showVal val="0"/>
          <c:showCatName val="0"/>
          <c:showSerName val="0"/>
          <c:showPercent val="0"/>
          <c:showBubbleSize val="0"/>
        </c:dLbls>
        <c:gapWidth val="150"/>
        <c:axId val="106560128"/>
        <c:axId val="106561920"/>
      </c:barChart>
      <c:lineChart>
        <c:grouping val="standard"/>
        <c:varyColors val="0"/>
        <c:ser>
          <c:idx val="1"/>
          <c:order val="1"/>
          <c:tx>
            <c:strRef>
              <c:f>'Appraisal Analysis'!$D$132</c:f>
              <c:strCache>
                <c:ptCount val="1"/>
                <c:pt idx="0">
                  <c:v>Trust</c:v>
                </c:pt>
              </c:strCache>
            </c:strRef>
          </c:tx>
          <c:marker>
            <c:symbol val="none"/>
          </c:marker>
          <c:cat>
            <c:strRef>
              <c:f>'Appraisal Analysis'!$B$133:$B$136</c:f>
              <c:strCache>
                <c:ptCount val="4"/>
                <c:pt idx="0">
                  <c:v>Not Disabled</c:v>
                </c:pt>
                <c:pt idx="1">
                  <c:v>Not Declared</c:v>
                </c:pt>
                <c:pt idx="2">
                  <c:v>Undefined</c:v>
                </c:pt>
                <c:pt idx="3">
                  <c:v>Disabled</c:v>
                </c:pt>
              </c:strCache>
            </c:strRef>
          </c:cat>
          <c:val>
            <c:numRef>
              <c:f>'Appraisal Analysis'!$D$133:$D$136</c:f>
              <c:numCache>
                <c:formatCode>0.00%</c:formatCode>
                <c:ptCount val="4"/>
                <c:pt idx="0">
                  <c:v>0.66269999999999996</c:v>
                </c:pt>
                <c:pt idx="1">
                  <c:v>0.66269999999999996</c:v>
                </c:pt>
                <c:pt idx="2">
                  <c:v>0.66269999999999996</c:v>
                </c:pt>
                <c:pt idx="3">
                  <c:v>0.66269999999999996</c:v>
                </c:pt>
              </c:numCache>
            </c:numRef>
          </c:val>
          <c:smooth val="0"/>
        </c:ser>
        <c:dLbls>
          <c:showLegendKey val="0"/>
          <c:showVal val="0"/>
          <c:showCatName val="0"/>
          <c:showSerName val="0"/>
          <c:showPercent val="0"/>
          <c:showBubbleSize val="0"/>
        </c:dLbls>
        <c:marker val="1"/>
        <c:smooth val="0"/>
        <c:axId val="106560128"/>
        <c:axId val="106561920"/>
      </c:lineChart>
      <c:catAx>
        <c:axId val="106560128"/>
        <c:scaling>
          <c:orientation val="minMax"/>
        </c:scaling>
        <c:delete val="0"/>
        <c:axPos val="b"/>
        <c:numFmt formatCode="General" sourceLinked="1"/>
        <c:majorTickMark val="none"/>
        <c:minorTickMark val="none"/>
        <c:tickLblPos val="nextTo"/>
        <c:crossAx val="106561920"/>
        <c:crosses val="autoZero"/>
        <c:auto val="1"/>
        <c:lblAlgn val="ctr"/>
        <c:lblOffset val="100"/>
        <c:noMultiLvlLbl val="0"/>
      </c:catAx>
      <c:valAx>
        <c:axId val="106561920"/>
        <c:scaling>
          <c:orientation val="minMax"/>
          <c:max val="0.70000000000000007"/>
          <c:min val="0.5"/>
        </c:scaling>
        <c:delete val="0"/>
        <c:axPos val="l"/>
        <c:majorGridlines/>
        <c:numFmt formatCode="0.00%" sourceLinked="1"/>
        <c:majorTickMark val="none"/>
        <c:minorTickMark val="none"/>
        <c:tickLblPos val="nextTo"/>
        <c:crossAx val="106560128"/>
        <c:crosses val="autoZero"/>
        <c:crossBetween val="between"/>
      </c:valAx>
    </c:plotArea>
    <c:legend>
      <c:legendPos val="r"/>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22 - Percentage Staff by Age Band</a:t>
            </a:r>
          </a:p>
        </c:rich>
      </c:tx>
      <c:overlay val="0"/>
    </c:title>
    <c:autoTitleDeleted val="0"/>
    <c:plotArea>
      <c:layout/>
      <c:barChart>
        <c:barDir val="col"/>
        <c:grouping val="clustered"/>
        <c:varyColors val="0"/>
        <c:ser>
          <c:idx val="0"/>
          <c:order val="0"/>
          <c:invertIfNegative val="0"/>
          <c:cat>
            <c:strRef>
              <c:f>'Trust Population'!$B$70:$B$80</c:f>
              <c:strCache>
                <c:ptCount val="11"/>
                <c:pt idx="0">
                  <c:v>16 - 20</c:v>
                </c:pt>
                <c:pt idx="1">
                  <c:v>21 - 25</c:v>
                </c:pt>
                <c:pt idx="2">
                  <c:v>26 - 30</c:v>
                </c:pt>
                <c:pt idx="3">
                  <c:v>31 - 35</c:v>
                </c:pt>
                <c:pt idx="4">
                  <c:v>36 - 40</c:v>
                </c:pt>
                <c:pt idx="5">
                  <c:v>41 - 45</c:v>
                </c:pt>
                <c:pt idx="6">
                  <c:v>46 - 50</c:v>
                </c:pt>
                <c:pt idx="7">
                  <c:v>51 - 55</c:v>
                </c:pt>
                <c:pt idx="8">
                  <c:v>56 - 60</c:v>
                </c:pt>
                <c:pt idx="9">
                  <c:v>61 - 65</c:v>
                </c:pt>
                <c:pt idx="10">
                  <c:v>66 +</c:v>
                </c:pt>
              </c:strCache>
            </c:strRef>
          </c:cat>
          <c:val>
            <c:numRef>
              <c:f>'Trust Population'!$D$70:$D$80</c:f>
              <c:numCache>
                <c:formatCode>0.00%</c:formatCode>
                <c:ptCount val="11"/>
                <c:pt idx="0">
                  <c:v>5.6557776694295464E-3</c:v>
                </c:pt>
                <c:pt idx="1">
                  <c:v>7.6157971721111647E-2</c:v>
                </c:pt>
                <c:pt idx="2">
                  <c:v>0.11935641150658216</c:v>
                </c:pt>
                <c:pt idx="3">
                  <c:v>0.12276938078985861</c:v>
                </c:pt>
                <c:pt idx="4">
                  <c:v>0.12023403217942467</c:v>
                </c:pt>
                <c:pt idx="5">
                  <c:v>0.13193564115065823</c:v>
                </c:pt>
                <c:pt idx="6">
                  <c:v>0.14051682106289615</c:v>
                </c:pt>
                <c:pt idx="7">
                  <c:v>0.13281326182350073</c:v>
                </c:pt>
                <c:pt idx="8">
                  <c:v>9.2637737688932228E-2</c:v>
                </c:pt>
                <c:pt idx="9">
                  <c:v>4.154071184787908E-2</c:v>
                </c:pt>
                <c:pt idx="10">
                  <c:v>1.6382252559726963E-2</c:v>
                </c:pt>
              </c:numCache>
            </c:numRef>
          </c:val>
        </c:ser>
        <c:dLbls>
          <c:showLegendKey val="0"/>
          <c:showVal val="0"/>
          <c:showCatName val="0"/>
          <c:showSerName val="0"/>
          <c:showPercent val="0"/>
          <c:showBubbleSize val="0"/>
        </c:dLbls>
        <c:gapWidth val="150"/>
        <c:axId val="106627840"/>
        <c:axId val="106629376"/>
      </c:barChart>
      <c:catAx>
        <c:axId val="106627840"/>
        <c:scaling>
          <c:orientation val="minMax"/>
        </c:scaling>
        <c:delete val="0"/>
        <c:axPos val="b"/>
        <c:numFmt formatCode="General" sourceLinked="1"/>
        <c:majorTickMark val="none"/>
        <c:minorTickMark val="none"/>
        <c:tickLblPos val="nextTo"/>
        <c:crossAx val="106629376"/>
        <c:crosses val="autoZero"/>
        <c:auto val="1"/>
        <c:lblAlgn val="ctr"/>
        <c:lblOffset val="100"/>
        <c:noMultiLvlLbl val="0"/>
      </c:catAx>
      <c:valAx>
        <c:axId val="106629376"/>
        <c:scaling>
          <c:orientation val="minMax"/>
        </c:scaling>
        <c:delete val="0"/>
        <c:axPos val="l"/>
        <c:majorGridlines/>
        <c:numFmt formatCode="0.00%" sourceLinked="1"/>
        <c:majorTickMark val="none"/>
        <c:minorTickMark val="none"/>
        <c:tickLblPos val="nextTo"/>
        <c:crossAx val="106627840"/>
        <c:crosses val="autoZero"/>
        <c:crossBetween val="between"/>
      </c:valAx>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23 - Staff Groups</a:t>
            </a:r>
            <a:r>
              <a:rPr lang="en-GB" sz="1200" baseline="0"/>
              <a:t> by Age Band</a:t>
            </a:r>
            <a:endParaRPr lang="en-GB" sz="1200"/>
          </a:p>
        </c:rich>
      </c:tx>
      <c:overlay val="0"/>
    </c:title>
    <c:autoTitleDeleted val="0"/>
    <c:plotArea>
      <c:layout/>
      <c:barChart>
        <c:barDir val="bar"/>
        <c:grouping val="percentStacked"/>
        <c:varyColors val="0"/>
        <c:ser>
          <c:idx val="0"/>
          <c:order val="0"/>
          <c:tx>
            <c:strRef>
              <c:f>'Staff Group Analysis'!$C$243</c:f>
              <c:strCache>
                <c:ptCount val="1"/>
                <c:pt idx="0">
                  <c:v>16 - 20</c:v>
                </c:pt>
              </c:strCache>
            </c:strRef>
          </c:tx>
          <c:invertIfNegative val="0"/>
          <c:cat>
            <c:strRef>
              <c:f>'Staff Group Analysis'!$B$244:$B$255</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Analysis'!$C$244:$C$255</c:f>
              <c:numCache>
                <c:formatCode>0.00%</c:formatCode>
                <c:ptCount val="12"/>
                <c:pt idx="0">
                  <c:v>1.605385810460901E-2</c:v>
                </c:pt>
                <c:pt idx="1">
                  <c:v>5.905511811023622E-3</c:v>
                </c:pt>
                <c:pt idx="2">
                  <c:v>1.1023622047244094E-2</c:v>
                </c:pt>
                <c:pt idx="3">
                  <c:v>0</c:v>
                </c:pt>
                <c:pt idx="4">
                  <c:v>1.0416666666666666E-2</c:v>
                </c:pt>
                <c:pt idx="5">
                  <c:v>0</c:v>
                </c:pt>
                <c:pt idx="6">
                  <c:v>4.2553191489361703E-3</c:v>
                </c:pt>
                <c:pt idx="7">
                  <c:v>7.3800738007380072E-3</c:v>
                </c:pt>
                <c:pt idx="8">
                  <c:v>0</c:v>
                </c:pt>
                <c:pt idx="9">
                  <c:v>0</c:v>
                </c:pt>
                <c:pt idx="10">
                  <c:v>0</c:v>
                </c:pt>
                <c:pt idx="11">
                  <c:v>0</c:v>
                </c:pt>
              </c:numCache>
            </c:numRef>
          </c:val>
        </c:ser>
        <c:ser>
          <c:idx val="1"/>
          <c:order val="1"/>
          <c:tx>
            <c:strRef>
              <c:f>'Staff Group Analysis'!$D$243</c:f>
              <c:strCache>
                <c:ptCount val="1"/>
                <c:pt idx="0">
                  <c:v>21 - 25</c:v>
                </c:pt>
              </c:strCache>
            </c:strRef>
          </c:tx>
          <c:invertIfNegative val="0"/>
          <c:cat>
            <c:strRef>
              <c:f>'Staff Group Analysis'!$B$244:$B$255</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Analysis'!$D$244:$D$255</c:f>
              <c:numCache>
                <c:formatCode>0.00%</c:formatCode>
                <c:ptCount val="12"/>
                <c:pt idx="0">
                  <c:v>6.0072501294665979E-2</c:v>
                </c:pt>
                <c:pt idx="1">
                  <c:v>3.937007874015748E-2</c:v>
                </c:pt>
                <c:pt idx="2">
                  <c:v>9.9212598425196849E-2</c:v>
                </c:pt>
                <c:pt idx="3">
                  <c:v>0.21142857142857144</c:v>
                </c:pt>
                <c:pt idx="4">
                  <c:v>3.125E-2</c:v>
                </c:pt>
                <c:pt idx="5">
                  <c:v>0.27058823529411763</c:v>
                </c:pt>
                <c:pt idx="6">
                  <c:v>0.11347517730496454</c:v>
                </c:pt>
                <c:pt idx="7">
                  <c:v>7.1340713407134076E-2</c:v>
                </c:pt>
                <c:pt idx="8">
                  <c:v>7.2205438066465261E-2</c:v>
                </c:pt>
                <c:pt idx="9">
                  <c:v>4.5454545454545456E-2</c:v>
                </c:pt>
                <c:pt idx="10">
                  <c:v>0</c:v>
                </c:pt>
                <c:pt idx="11">
                  <c:v>2.9850746268656717E-3</c:v>
                </c:pt>
              </c:numCache>
            </c:numRef>
          </c:val>
        </c:ser>
        <c:ser>
          <c:idx val="2"/>
          <c:order val="2"/>
          <c:tx>
            <c:strRef>
              <c:f>'Staff Group Analysis'!$E$243</c:f>
              <c:strCache>
                <c:ptCount val="1"/>
                <c:pt idx="0">
                  <c:v>26 - 30</c:v>
                </c:pt>
              </c:strCache>
            </c:strRef>
          </c:tx>
          <c:invertIfNegative val="0"/>
          <c:cat>
            <c:strRef>
              <c:f>'Staff Group Analysis'!$B$244:$B$255</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Analysis'!$E$244:$E$255</c:f>
              <c:numCache>
                <c:formatCode>0.00%</c:formatCode>
                <c:ptCount val="12"/>
                <c:pt idx="0">
                  <c:v>9.2698083894355257E-2</c:v>
                </c:pt>
                <c:pt idx="1">
                  <c:v>7.4803149606299218E-2</c:v>
                </c:pt>
                <c:pt idx="2">
                  <c:v>9.5275590551181108E-2</c:v>
                </c:pt>
                <c:pt idx="3">
                  <c:v>0.34476190476190477</c:v>
                </c:pt>
                <c:pt idx="4">
                  <c:v>8.3333333333333329E-2</c:v>
                </c:pt>
                <c:pt idx="5">
                  <c:v>0.28235294117647058</c:v>
                </c:pt>
                <c:pt idx="6">
                  <c:v>0.16595744680851063</c:v>
                </c:pt>
                <c:pt idx="7">
                  <c:v>0.15129151291512916</c:v>
                </c:pt>
                <c:pt idx="8">
                  <c:v>0.11963746223564954</c:v>
                </c:pt>
                <c:pt idx="9">
                  <c:v>0.18181818181818182</c:v>
                </c:pt>
                <c:pt idx="10">
                  <c:v>3.3955857385398981E-3</c:v>
                </c:pt>
                <c:pt idx="11">
                  <c:v>5.6716417910447764E-2</c:v>
                </c:pt>
              </c:numCache>
            </c:numRef>
          </c:val>
        </c:ser>
        <c:ser>
          <c:idx val="3"/>
          <c:order val="3"/>
          <c:tx>
            <c:strRef>
              <c:f>'Staff Group Analysis'!$F$243</c:f>
              <c:strCache>
                <c:ptCount val="1"/>
                <c:pt idx="0">
                  <c:v>31 - 35</c:v>
                </c:pt>
              </c:strCache>
            </c:strRef>
          </c:tx>
          <c:invertIfNegative val="0"/>
          <c:cat>
            <c:strRef>
              <c:f>'Staff Group Analysis'!$B$244:$B$255</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Analysis'!$F$244:$F$255</c:f>
              <c:numCache>
                <c:formatCode>0.00%</c:formatCode>
                <c:ptCount val="12"/>
                <c:pt idx="0">
                  <c:v>0.10357327809425168</c:v>
                </c:pt>
                <c:pt idx="1">
                  <c:v>7.874015748031496E-2</c:v>
                </c:pt>
                <c:pt idx="2">
                  <c:v>0.1173228346456693</c:v>
                </c:pt>
                <c:pt idx="3">
                  <c:v>0.22476190476190477</c:v>
                </c:pt>
                <c:pt idx="4">
                  <c:v>5.2083333333333336E-2</c:v>
                </c:pt>
                <c:pt idx="5">
                  <c:v>0.12941176470588237</c:v>
                </c:pt>
                <c:pt idx="6">
                  <c:v>0.17446808510638298</c:v>
                </c:pt>
                <c:pt idx="7">
                  <c:v>0.14022140221402213</c:v>
                </c:pt>
                <c:pt idx="8">
                  <c:v>0.12447129909365559</c:v>
                </c:pt>
                <c:pt idx="9">
                  <c:v>0.17045454545454544</c:v>
                </c:pt>
                <c:pt idx="10">
                  <c:v>5.9422750424448216E-2</c:v>
                </c:pt>
                <c:pt idx="11">
                  <c:v>0.11044776119402985</c:v>
                </c:pt>
              </c:numCache>
            </c:numRef>
          </c:val>
        </c:ser>
        <c:ser>
          <c:idx val="4"/>
          <c:order val="4"/>
          <c:tx>
            <c:strRef>
              <c:f>'Staff Group Analysis'!$G$243</c:f>
              <c:strCache>
                <c:ptCount val="1"/>
                <c:pt idx="0">
                  <c:v>36 - 40</c:v>
                </c:pt>
              </c:strCache>
            </c:strRef>
          </c:tx>
          <c:invertIfNegative val="0"/>
          <c:cat>
            <c:strRef>
              <c:f>'Staff Group Analysis'!$B$244:$B$255</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Analysis'!$G$244:$G$255</c:f>
              <c:numCache>
                <c:formatCode>0.00%</c:formatCode>
                <c:ptCount val="12"/>
                <c:pt idx="0">
                  <c:v>6.5251165199378555E-2</c:v>
                </c:pt>
                <c:pt idx="1">
                  <c:v>6.8897637795275593E-2</c:v>
                </c:pt>
                <c:pt idx="2">
                  <c:v>0.10551181102362205</c:v>
                </c:pt>
                <c:pt idx="3">
                  <c:v>0.14666666666666667</c:v>
                </c:pt>
                <c:pt idx="4">
                  <c:v>3.125E-2</c:v>
                </c:pt>
                <c:pt idx="5">
                  <c:v>0.10588235294117647</c:v>
                </c:pt>
                <c:pt idx="6">
                  <c:v>0.13049645390070921</c:v>
                </c:pt>
                <c:pt idx="7">
                  <c:v>0.13161131611316113</c:v>
                </c:pt>
                <c:pt idx="8">
                  <c:v>0.15256797583081572</c:v>
                </c:pt>
                <c:pt idx="9">
                  <c:v>0.14772727272727273</c:v>
                </c:pt>
                <c:pt idx="10">
                  <c:v>0.16468590831918506</c:v>
                </c:pt>
                <c:pt idx="11">
                  <c:v>0.1044776119402985</c:v>
                </c:pt>
              </c:numCache>
            </c:numRef>
          </c:val>
        </c:ser>
        <c:ser>
          <c:idx val="5"/>
          <c:order val="5"/>
          <c:tx>
            <c:strRef>
              <c:f>'Staff Group Analysis'!$H$243</c:f>
              <c:strCache>
                <c:ptCount val="1"/>
                <c:pt idx="0">
                  <c:v>41 - 45</c:v>
                </c:pt>
              </c:strCache>
            </c:strRef>
          </c:tx>
          <c:invertIfNegative val="0"/>
          <c:cat>
            <c:strRef>
              <c:f>'Staff Group Analysis'!$B$244:$B$255</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Analysis'!$H$244:$H$255</c:f>
              <c:numCache>
                <c:formatCode>0.00%</c:formatCode>
                <c:ptCount val="12"/>
                <c:pt idx="0">
                  <c:v>0.11496633868461936</c:v>
                </c:pt>
                <c:pt idx="1">
                  <c:v>0.10039370078740158</c:v>
                </c:pt>
                <c:pt idx="2">
                  <c:v>0.1141732283464567</c:v>
                </c:pt>
                <c:pt idx="3">
                  <c:v>4.9523809523809526E-2</c:v>
                </c:pt>
                <c:pt idx="4">
                  <c:v>0.10416666666666667</c:v>
                </c:pt>
                <c:pt idx="5">
                  <c:v>9.4117647058823528E-2</c:v>
                </c:pt>
                <c:pt idx="6">
                  <c:v>0.11063829787234042</c:v>
                </c:pt>
                <c:pt idx="7">
                  <c:v>0.11808118081180811</c:v>
                </c:pt>
                <c:pt idx="8">
                  <c:v>0.16102719033232629</c:v>
                </c:pt>
                <c:pt idx="9">
                  <c:v>5.6818181818181816E-2</c:v>
                </c:pt>
                <c:pt idx="10">
                  <c:v>0.19354838709677419</c:v>
                </c:pt>
                <c:pt idx="11">
                  <c:v>0.19402985074626866</c:v>
                </c:pt>
              </c:numCache>
            </c:numRef>
          </c:val>
        </c:ser>
        <c:ser>
          <c:idx val="6"/>
          <c:order val="6"/>
          <c:tx>
            <c:strRef>
              <c:f>'Staff Group Analysis'!$I$243</c:f>
              <c:strCache>
                <c:ptCount val="1"/>
                <c:pt idx="0">
                  <c:v>46 - 50</c:v>
                </c:pt>
              </c:strCache>
            </c:strRef>
          </c:tx>
          <c:invertIfNegative val="0"/>
          <c:cat>
            <c:strRef>
              <c:f>'Staff Group Analysis'!$B$244:$B$255</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Analysis'!$I$244:$I$255</c:f>
              <c:numCache>
                <c:formatCode>0.00%</c:formatCode>
                <c:ptCount val="12"/>
                <c:pt idx="0">
                  <c:v>0.1569135163127913</c:v>
                </c:pt>
                <c:pt idx="1">
                  <c:v>0.16141732283464566</c:v>
                </c:pt>
                <c:pt idx="2">
                  <c:v>0.12598425196850394</c:v>
                </c:pt>
                <c:pt idx="3">
                  <c:v>1.7142857142857144E-2</c:v>
                </c:pt>
                <c:pt idx="4">
                  <c:v>0.14583333333333334</c:v>
                </c:pt>
                <c:pt idx="5">
                  <c:v>4.7058823529411764E-2</c:v>
                </c:pt>
                <c:pt idx="6">
                  <c:v>0.11631205673758865</c:v>
                </c:pt>
                <c:pt idx="7">
                  <c:v>0.12177121771217712</c:v>
                </c:pt>
                <c:pt idx="8">
                  <c:v>0.15045317220543808</c:v>
                </c:pt>
                <c:pt idx="9">
                  <c:v>0.11363636363636363</c:v>
                </c:pt>
                <c:pt idx="10">
                  <c:v>0.21222410865874364</c:v>
                </c:pt>
                <c:pt idx="11">
                  <c:v>0.16417910447761194</c:v>
                </c:pt>
              </c:numCache>
            </c:numRef>
          </c:val>
        </c:ser>
        <c:ser>
          <c:idx val="7"/>
          <c:order val="7"/>
          <c:tx>
            <c:strRef>
              <c:f>'Staff Group Analysis'!$J$243</c:f>
              <c:strCache>
                <c:ptCount val="1"/>
                <c:pt idx="0">
                  <c:v>51 - 55</c:v>
                </c:pt>
              </c:strCache>
            </c:strRef>
          </c:tx>
          <c:invertIfNegative val="0"/>
          <c:cat>
            <c:strRef>
              <c:f>'Staff Group Analysis'!$B$244:$B$255</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Analysis'!$J$244:$J$255</c:f>
              <c:numCache>
                <c:formatCode>0.00%</c:formatCode>
                <c:ptCount val="12"/>
                <c:pt idx="0">
                  <c:v>0.16209218021750388</c:v>
                </c:pt>
                <c:pt idx="1">
                  <c:v>0.15354330708661418</c:v>
                </c:pt>
                <c:pt idx="2">
                  <c:v>0.15196850393700786</c:v>
                </c:pt>
                <c:pt idx="3">
                  <c:v>3.8095238095238095E-3</c:v>
                </c:pt>
                <c:pt idx="4">
                  <c:v>0.15625</c:v>
                </c:pt>
                <c:pt idx="5">
                  <c:v>3.5294117647058823E-2</c:v>
                </c:pt>
                <c:pt idx="6">
                  <c:v>0.10780141843971631</c:v>
                </c:pt>
                <c:pt idx="7">
                  <c:v>0.11931119311193111</c:v>
                </c:pt>
                <c:pt idx="8">
                  <c:v>0.12265861027190332</c:v>
                </c:pt>
                <c:pt idx="9">
                  <c:v>0.125</c:v>
                </c:pt>
                <c:pt idx="10">
                  <c:v>0.16808149405772496</c:v>
                </c:pt>
                <c:pt idx="11">
                  <c:v>0.20597014925373133</c:v>
                </c:pt>
              </c:numCache>
            </c:numRef>
          </c:val>
        </c:ser>
        <c:ser>
          <c:idx val="8"/>
          <c:order val="8"/>
          <c:tx>
            <c:strRef>
              <c:f>'Staff Group Analysis'!$K$243</c:f>
              <c:strCache>
                <c:ptCount val="1"/>
                <c:pt idx="0">
                  <c:v>56 - 60</c:v>
                </c:pt>
              </c:strCache>
            </c:strRef>
          </c:tx>
          <c:invertIfNegative val="0"/>
          <c:cat>
            <c:strRef>
              <c:f>'Staff Group Analysis'!$B$244:$B$255</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Analysis'!$K$244:$K$255</c:f>
              <c:numCache>
                <c:formatCode>0.00%</c:formatCode>
                <c:ptCount val="12"/>
                <c:pt idx="0">
                  <c:v>0.13464526152252718</c:v>
                </c:pt>
                <c:pt idx="1">
                  <c:v>0.14566929133858267</c:v>
                </c:pt>
                <c:pt idx="2">
                  <c:v>0.10708661417322834</c:v>
                </c:pt>
                <c:pt idx="3">
                  <c:v>1.9047619047619048E-3</c:v>
                </c:pt>
                <c:pt idx="4">
                  <c:v>0.21875</c:v>
                </c:pt>
                <c:pt idx="5">
                  <c:v>1.1764705882352941E-2</c:v>
                </c:pt>
                <c:pt idx="6">
                  <c:v>4.8226950354609929E-2</c:v>
                </c:pt>
                <c:pt idx="7">
                  <c:v>9.4710947109471089E-2</c:v>
                </c:pt>
                <c:pt idx="8">
                  <c:v>6.7975830815709973E-2</c:v>
                </c:pt>
                <c:pt idx="9">
                  <c:v>0.10227272727272728</c:v>
                </c:pt>
                <c:pt idx="10">
                  <c:v>0.11714770797962648</c:v>
                </c:pt>
                <c:pt idx="11">
                  <c:v>0.12835820895522387</c:v>
                </c:pt>
              </c:numCache>
            </c:numRef>
          </c:val>
        </c:ser>
        <c:ser>
          <c:idx val="9"/>
          <c:order val="9"/>
          <c:tx>
            <c:strRef>
              <c:f>'Staff Group Analysis'!$L$243</c:f>
              <c:strCache>
                <c:ptCount val="1"/>
                <c:pt idx="0">
                  <c:v>61 - 65</c:v>
                </c:pt>
              </c:strCache>
            </c:strRef>
          </c:tx>
          <c:invertIfNegative val="0"/>
          <c:cat>
            <c:strRef>
              <c:f>'Staff Group Analysis'!$B$244:$B$255</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Analysis'!$L$244:$L$255</c:f>
              <c:numCache>
                <c:formatCode>0.00%</c:formatCode>
                <c:ptCount val="12"/>
                <c:pt idx="0">
                  <c:v>6.8876229932677363E-2</c:v>
                </c:pt>
                <c:pt idx="1">
                  <c:v>0.10236220472440945</c:v>
                </c:pt>
                <c:pt idx="2">
                  <c:v>5.1181102362204724E-2</c:v>
                </c:pt>
                <c:pt idx="3">
                  <c:v>0</c:v>
                </c:pt>
                <c:pt idx="4">
                  <c:v>0.16666666666666666</c:v>
                </c:pt>
                <c:pt idx="5">
                  <c:v>2.3529411764705882E-2</c:v>
                </c:pt>
                <c:pt idx="6">
                  <c:v>2.2695035460992909E-2</c:v>
                </c:pt>
                <c:pt idx="7">
                  <c:v>2.9520295202952029E-2</c:v>
                </c:pt>
                <c:pt idx="8">
                  <c:v>2.2054380664652568E-2</c:v>
                </c:pt>
                <c:pt idx="9">
                  <c:v>3.4090909090909088E-2</c:v>
                </c:pt>
                <c:pt idx="10">
                  <c:v>5.7724957555178265E-2</c:v>
                </c:pt>
                <c:pt idx="11">
                  <c:v>2.3880597014925373E-2</c:v>
                </c:pt>
              </c:numCache>
            </c:numRef>
          </c:val>
        </c:ser>
        <c:ser>
          <c:idx val="10"/>
          <c:order val="10"/>
          <c:tx>
            <c:strRef>
              <c:f>'Staff Group Analysis'!$M$243</c:f>
              <c:strCache>
                <c:ptCount val="1"/>
                <c:pt idx="0">
                  <c:v>66 +</c:v>
                </c:pt>
              </c:strCache>
            </c:strRef>
          </c:tx>
          <c:invertIfNegative val="0"/>
          <c:cat>
            <c:strRef>
              <c:f>'Staff Group Analysis'!$B$244:$B$255</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Analysis'!$M$244:$M$255</c:f>
              <c:numCache>
                <c:formatCode>0.00%</c:formatCode>
                <c:ptCount val="12"/>
                <c:pt idx="0">
                  <c:v>2.4857586742620404E-2</c:v>
                </c:pt>
                <c:pt idx="1">
                  <c:v>6.8897637795275593E-2</c:v>
                </c:pt>
                <c:pt idx="2">
                  <c:v>2.1259842519685039E-2</c:v>
                </c:pt>
                <c:pt idx="3">
                  <c:v>0</c:v>
                </c:pt>
                <c:pt idx="4">
                  <c:v>0</c:v>
                </c:pt>
                <c:pt idx="5">
                  <c:v>0</c:v>
                </c:pt>
                <c:pt idx="6">
                  <c:v>5.6737588652482273E-3</c:v>
                </c:pt>
                <c:pt idx="7">
                  <c:v>1.4760147601476014E-2</c:v>
                </c:pt>
                <c:pt idx="8">
                  <c:v>6.9486404833836862E-3</c:v>
                </c:pt>
                <c:pt idx="9">
                  <c:v>2.2727272727272728E-2</c:v>
                </c:pt>
                <c:pt idx="10">
                  <c:v>2.3769100169779286E-2</c:v>
                </c:pt>
                <c:pt idx="11">
                  <c:v>8.9552238805970154E-3</c:v>
                </c:pt>
              </c:numCache>
            </c:numRef>
          </c:val>
        </c:ser>
        <c:dLbls>
          <c:showLegendKey val="0"/>
          <c:showVal val="0"/>
          <c:showCatName val="0"/>
          <c:showSerName val="0"/>
          <c:showPercent val="0"/>
          <c:showBubbleSize val="0"/>
        </c:dLbls>
        <c:gapWidth val="55"/>
        <c:overlap val="100"/>
        <c:axId val="106715008"/>
        <c:axId val="106716544"/>
      </c:barChart>
      <c:catAx>
        <c:axId val="106715008"/>
        <c:scaling>
          <c:orientation val="minMax"/>
        </c:scaling>
        <c:delete val="0"/>
        <c:axPos val="l"/>
        <c:numFmt formatCode="General" sourceLinked="1"/>
        <c:majorTickMark val="none"/>
        <c:minorTickMark val="none"/>
        <c:tickLblPos val="nextTo"/>
        <c:crossAx val="106716544"/>
        <c:crosses val="autoZero"/>
        <c:auto val="1"/>
        <c:lblAlgn val="ctr"/>
        <c:lblOffset val="100"/>
        <c:noMultiLvlLbl val="0"/>
      </c:catAx>
      <c:valAx>
        <c:axId val="106716544"/>
        <c:scaling>
          <c:orientation val="minMax"/>
        </c:scaling>
        <c:delete val="0"/>
        <c:axPos val="b"/>
        <c:majorGridlines/>
        <c:numFmt formatCode="0%" sourceLinked="1"/>
        <c:majorTickMark val="none"/>
        <c:minorTickMark val="none"/>
        <c:tickLblPos val="nextTo"/>
        <c:crossAx val="106715008"/>
        <c:crosses val="autoZero"/>
        <c:crossBetween val="between"/>
      </c:valAx>
    </c:plotArea>
    <c:legend>
      <c:legendPos val="r"/>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24 - Recruitment by Age Jul '14 - Dec '14</a:t>
            </a:r>
          </a:p>
        </c:rich>
      </c:tx>
      <c:overlay val="0"/>
    </c:title>
    <c:autoTitleDeleted val="0"/>
    <c:plotArea>
      <c:layout/>
      <c:barChart>
        <c:barDir val="col"/>
        <c:grouping val="clustered"/>
        <c:varyColors val="0"/>
        <c:ser>
          <c:idx val="0"/>
          <c:order val="0"/>
          <c:tx>
            <c:strRef>
              <c:f>Equal_Opportunities_Progress!$O$41</c:f>
              <c:strCache>
                <c:ptCount val="1"/>
                <c:pt idx="0">
                  <c:v>Applied</c:v>
                </c:pt>
              </c:strCache>
            </c:strRef>
          </c:tx>
          <c:invertIfNegative val="0"/>
          <c:cat>
            <c:strRef>
              <c:f>Equal_Opportunities_Progress!$N$42:$N$55</c:f>
              <c:strCache>
                <c:ptCount val="14"/>
                <c:pt idx="0">
                  <c:v>Under 18</c:v>
                </c:pt>
                <c:pt idx="1">
                  <c:v>18 to 19</c:v>
                </c:pt>
                <c:pt idx="2">
                  <c:v>20 to 24</c:v>
                </c:pt>
                <c:pt idx="3">
                  <c:v>25 to 29</c:v>
                </c:pt>
                <c:pt idx="4">
                  <c:v>30 to 34</c:v>
                </c:pt>
                <c:pt idx="5">
                  <c:v>35 to 39</c:v>
                </c:pt>
                <c:pt idx="6">
                  <c:v>40 to 44</c:v>
                </c:pt>
                <c:pt idx="7">
                  <c:v>45 to 49</c:v>
                </c:pt>
                <c:pt idx="8">
                  <c:v>50 to 54</c:v>
                </c:pt>
                <c:pt idx="9">
                  <c:v>55 to 59</c:v>
                </c:pt>
                <c:pt idx="10">
                  <c:v>60 to 64</c:v>
                </c:pt>
                <c:pt idx="11">
                  <c:v>65 to 69</c:v>
                </c:pt>
                <c:pt idx="12">
                  <c:v>70 and over</c:v>
                </c:pt>
                <c:pt idx="13">
                  <c:v>Undisclosed</c:v>
                </c:pt>
              </c:strCache>
            </c:strRef>
          </c:cat>
          <c:val>
            <c:numRef>
              <c:f>Equal_Opportunities_Progress!$O$42:$O$55</c:f>
              <c:numCache>
                <c:formatCode>0.00%</c:formatCode>
                <c:ptCount val="14"/>
                <c:pt idx="0">
                  <c:v>1E-3</c:v>
                </c:pt>
                <c:pt idx="1">
                  <c:v>1.6E-2</c:v>
                </c:pt>
                <c:pt idx="2">
                  <c:v>0.182</c:v>
                </c:pt>
                <c:pt idx="3">
                  <c:v>0.23300000000000001</c:v>
                </c:pt>
                <c:pt idx="4">
                  <c:v>0.16300000000000001</c:v>
                </c:pt>
                <c:pt idx="5">
                  <c:v>0.107</c:v>
                </c:pt>
                <c:pt idx="6">
                  <c:v>9.9000000000000005E-2</c:v>
                </c:pt>
                <c:pt idx="7">
                  <c:v>8.5999999999999993E-2</c:v>
                </c:pt>
                <c:pt idx="8">
                  <c:v>7.1999999999999995E-2</c:v>
                </c:pt>
                <c:pt idx="9">
                  <c:v>0.03</c:v>
                </c:pt>
                <c:pt idx="10">
                  <c:v>8.0000000000000002E-3</c:v>
                </c:pt>
                <c:pt idx="11">
                  <c:v>1E-3</c:v>
                </c:pt>
                <c:pt idx="12">
                  <c:v>0</c:v>
                </c:pt>
                <c:pt idx="13">
                  <c:v>1E-3</c:v>
                </c:pt>
              </c:numCache>
            </c:numRef>
          </c:val>
        </c:ser>
        <c:ser>
          <c:idx val="1"/>
          <c:order val="1"/>
          <c:tx>
            <c:strRef>
              <c:f>Equal_Opportunities_Progress!$P$41</c:f>
              <c:strCache>
                <c:ptCount val="1"/>
                <c:pt idx="0">
                  <c:v>Shortlisted</c:v>
                </c:pt>
              </c:strCache>
            </c:strRef>
          </c:tx>
          <c:invertIfNegative val="0"/>
          <c:cat>
            <c:strRef>
              <c:f>Equal_Opportunities_Progress!$N$42:$N$55</c:f>
              <c:strCache>
                <c:ptCount val="14"/>
                <c:pt idx="0">
                  <c:v>Under 18</c:v>
                </c:pt>
                <c:pt idx="1">
                  <c:v>18 to 19</c:v>
                </c:pt>
                <c:pt idx="2">
                  <c:v>20 to 24</c:v>
                </c:pt>
                <c:pt idx="3">
                  <c:v>25 to 29</c:v>
                </c:pt>
                <c:pt idx="4">
                  <c:v>30 to 34</c:v>
                </c:pt>
                <c:pt idx="5">
                  <c:v>35 to 39</c:v>
                </c:pt>
                <c:pt idx="6">
                  <c:v>40 to 44</c:v>
                </c:pt>
                <c:pt idx="7">
                  <c:v>45 to 49</c:v>
                </c:pt>
                <c:pt idx="8">
                  <c:v>50 to 54</c:v>
                </c:pt>
                <c:pt idx="9">
                  <c:v>55 to 59</c:v>
                </c:pt>
                <c:pt idx="10">
                  <c:v>60 to 64</c:v>
                </c:pt>
                <c:pt idx="11">
                  <c:v>65 to 69</c:v>
                </c:pt>
                <c:pt idx="12">
                  <c:v>70 and over</c:v>
                </c:pt>
                <c:pt idx="13">
                  <c:v>Undisclosed</c:v>
                </c:pt>
              </c:strCache>
            </c:strRef>
          </c:cat>
          <c:val>
            <c:numRef>
              <c:f>Equal_Opportunities_Progress!$P$42:$P$55</c:f>
              <c:numCache>
                <c:formatCode>0.00%</c:formatCode>
                <c:ptCount val="14"/>
                <c:pt idx="0">
                  <c:v>0</c:v>
                </c:pt>
                <c:pt idx="1">
                  <c:v>1.2E-2</c:v>
                </c:pt>
                <c:pt idx="2">
                  <c:v>0.15</c:v>
                </c:pt>
                <c:pt idx="3">
                  <c:v>0.216</c:v>
                </c:pt>
                <c:pt idx="4">
                  <c:v>0.156</c:v>
                </c:pt>
                <c:pt idx="5">
                  <c:v>0.113</c:v>
                </c:pt>
                <c:pt idx="6">
                  <c:v>0.125</c:v>
                </c:pt>
                <c:pt idx="7">
                  <c:v>0.1</c:v>
                </c:pt>
                <c:pt idx="8">
                  <c:v>8.1000000000000003E-2</c:v>
                </c:pt>
                <c:pt idx="9">
                  <c:v>3.5000000000000003E-2</c:v>
                </c:pt>
                <c:pt idx="10">
                  <c:v>0.01</c:v>
                </c:pt>
                <c:pt idx="11">
                  <c:v>1E-3</c:v>
                </c:pt>
                <c:pt idx="12">
                  <c:v>0</c:v>
                </c:pt>
                <c:pt idx="13">
                  <c:v>1E-3</c:v>
                </c:pt>
              </c:numCache>
            </c:numRef>
          </c:val>
        </c:ser>
        <c:ser>
          <c:idx val="2"/>
          <c:order val="2"/>
          <c:tx>
            <c:strRef>
              <c:f>Equal_Opportunities_Progress!$Q$41</c:f>
              <c:strCache>
                <c:ptCount val="1"/>
                <c:pt idx="0">
                  <c:v>Appointed</c:v>
                </c:pt>
              </c:strCache>
            </c:strRef>
          </c:tx>
          <c:invertIfNegative val="0"/>
          <c:cat>
            <c:strRef>
              <c:f>Equal_Opportunities_Progress!$N$42:$N$55</c:f>
              <c:strCache>
                <c:ptCount val="14"/>
                <c:pt idx="0">
                  <c:v>Under 18</c:v>
                </c:pt>
                <c:pt idx="1">
                  <c:v>18 to 19</c:v>
                </c:pt>
                <c:pt idx="2">
                  <c:v>20 to 24</c:v>
                </c:pt>
                <c:pt idx="3">
                  <c:v>25 to 29</c:v>
                </c:pt>
                <c:pt idx="4">
                  <c:v>30 to 34</c:v>
                </c:pt>
                <c:pt idx="5">
                  <c:v>35 to 39</c:v>
                </c:pt>
                <c:pt idx="6">
                  <c:v>40 to 44</c:v>
                </c:pt>
                <c:pt idx="7">
                  <c:v>45 to 49</c:v>
                </c:pt>
                <c:pt idx="8">
                  <c:v>50 to 54</c:v>
                </c:pt>
                <c:pt idx="9">
                  <c:v>55 to 59</c:v>
                </c:pt>
                <c:pt idx="10">
                  <c:v>60 to 64</c:v>
                </c:pt>
                <c:pt idx="11">
                  <c:v>65 to 69</c:v>
                </c:pt>
                <c:pt idx="12">
                  <c:v>70 and over</c:v>
                </c:pt>
                <c:pt idx="13">
                  <c:v>Undisclosed</c:v>
                </c:pt>
              </c:strCache>
            </c:strRef>
          </c:cat>
          <c:val>
            <c:numRef>
              <c:f>Equal_Opportunities_Progress!$Q$42:$Q$55</c:f>
              <c:numCache>
                <c:formatCode>0.00%</c:formatCode>
                <c:ptCount val="14"/>
                <c:pt idx="0">
                  <c:v>0</c:v>
                </c:pt>
                <c:pt idx="1">
                  <c:v>1.2E-2</c:v>
                </c:pt>
                <c:pt idx="2">
                  <c:v>0.153</c:v>
                </c:pt>
                <c:pt idx="3">
                  <c:v>0.20300000000000001</c:v>
                </c:pt>
                <c:pt idx="4">
                  <c:v>0.14699999999999999</c:v>
                </c:pt>
                <c:pt idx="5">
                  <c:v>0.11899999999999999</c:v>
                </c:pt>
                <c:pt idx="6">
                  <c:v>0.13100000000000001</c:v>
                </c:pt>
                <c:pt idx="7">
                  <c:v>0.1</c:v>
                </c:pt>
                <c:pt idx="8">
                  <c:v>0.09</c:v>
                </c:pt>
                <c:pt idx="9">
                  <c:v>3.5000000000000003E-2</c:v>
                </c:pt>
                <c:pt idx="10">
                  <c:v>7.0000000000000001E-3</c:v>
                </c:pt>
                <c:pt idx="11">
                  <c:v>1E-3</c:v>
                </c:pt>
                <c:pt idx="12">
                  <c:v>0</c:v>
                </c:pt>
                <c:pt idx="13">
                  <c:v>1E-3</c:v>
                </c:pt>
              </c:numCache>
            </c:numRef>
          </c:val>
        </c:ser>
        <c:dLbls>
          <c:showLegendKey val="0"/>
          <c:showVal val="0"/>
          <c:showCatName val="0"/>
          <c:showSerName val="0"/>
          <c:showPercent val="0"/>
          <c:showBubbleSize val="0"/>
        </c:dLbls>
        <c:gapWidth val="150"/>
        <c:axId val="106780160"/>
        <c:axId val="106781696"/>
      </c:barChart>
      <c:catAx>
        <c:axId val="106780160"/>
        <c:scaling>
          <c:orientation val="minMax"/>
        </c:scaling>
        <c:delete val="0"/>
        <c:axPos val="b"/>
        <c:majorTickMark val="none"/>
        <c:minorTickMark val="none"/>
        <c:tickLblPos val="nextTo"/>
        <c:crossAx val="106781696"/>
        <c:crosses val="autoZero"/>
        <c:auto val="1"/>
        <c:lblAlgn val="ctr"/>
        <c:lblOffset val="100"/>
        <c:noMultiLvlLbl val="0"/>
      </c:catAx>
      <c:valAx>
        <c:axId val="106781696"/>
        <c:scaling>
          <c:orientation val="minMax"/>
        </c:scaling>
        <c:delete val="0"/>
        <c:axPos val="l"/>
        <c:majorGridlines/>
        <c:numFmt formatCode="0.00%" sourceLinked="1"/>
        <c:majorTickMark val="none"/>
        <c:minorTickMark val="none"/>
        <c:tickLblPos val="nextTo"/>
        <c:crossAx val="106780160"/>
        <c:crosses val="autoZero"/>
        <c:crossBetween val="between"/>
      </c:valAx>
    </c:plotArea>
    <c:legend>
      <c:legendPos val="r"/>
      <c:overlay val="0"/>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25 - Leavers by Age Band</a:t>
            </a:r>
          </a:p>
        </c:rich>
      </c:tx>
      <c:overlay val="0"/>
    </c:title>
    <c:autoTitleDeleted val="0"/>
    <c:plotArea>
      <c:layout/>
      <c:barChart>
        <c:barDir val="bar"/>
        <c:grouping val="clustered"/>
        <c:varyColors val="0"/>
        <c:ser>
          <c:idx val="0"/>
          <c:order val="0"/>
          <c:invertIfNegative val="0"/>
          <c:cat>
            <c:strRef>
              <c:f>'Leavers Analysis'!$B$149:$B$160</c:f>
              <c:strCache>
                <c:ptCount val="12"/>
                <c:pt idx="0">
                  <c:v>16 - 20</c:v>
                </c:pt>
                <c:pt idx="1">
                  <c:v>21 - 25</c:v>
                </c:pt>
                <c:pt idx="2">
                  <c:v>26 - 30</c:v>
                </c:pt>
                <c:pt idx="3">
                  <c:v>31 - 35</c:v>
                </c:pt>
                <c:pt idx="4">
                  <c:v>36 - 40</c:v>
                </c:pt>
                <c:pt idx="5">
                  <c:v>41 - 45</c:v>
                </c:pt>
                <c:pt idx="6">
                  <c:v>46 - 50</c:v>
                </c:pt>
                <c:pt idx="7">
                  <c:v>51 - 55</c:v>
                </c:pt>
                <c:pt idx="8">
                  <c:v>56 - 60</c:v>
                </c:pt>
                <c:pt idx="9">
                  <c:v>61 - 65</c:v>
                </c:pt>
                <c:pt idx="10">
                  <c:v>66 - 70</c:v>
                </c:pt>
                <c:pt idx="11">
                  <c:v>71 &amp; above</c:v>
                </c:pt>
              </c:strCache>
            </c:strRef>
          </c:cat>
          <c:val>
            <c:numRef>
              <c:f>'Leavers Analysis'!$C$149:$C$160</c:f>
              <c:numCache>
                <c:formatCode>0%</c:formatCode>
                <c:ptCount val="12"/>
                <c:pt idx="0">
                  <c:v>1.3264554163596167E-2</c:v>
                </c:pt>
                <c:pt idx="1">
                  <c:v>0.10243183492999262</c:v>
                </c:pt>
                <c:pt idx="2">
                  <c:v>0.14812085482682388</c:v>
                </c:pt>
                <c:pt idx="3">
                  <c:v>0.11201179071481208</c:v>
                </c:pt>
                <c:pt idx="4">
                  <c:v>0.10611643330876934</c:v>
                </c:pt>
                <c:pt idx="5">
                  <c:v>0.11643330876934414</c:v>
                </c:pt>
                <c:pt idx="6">
                  <c:v>0.11790714812085483</c:v>
                </c:pt>
                <c:pt idx="7">
                  <c:v>9.2114959469417834E-2</c:v>
                </c:pt>
                <c:pt idx="8">
                  <c:v>9.6536477523949893E-2</c:v>
                </c:pt>
                <c:pt idx="9">
                  <c:v>6.8533529845246868E-2</c:v>
                </c:pt>
                <c:pt idx="10">
                  <c:v>1.8422991893883568E-2</c:v>
                </c:pt>
                <c:pt idx="11">
                  <c:v>8.1061164333087691E-3</c:v>
                </c:pt>
              </c:numCache>
            </c:numRef>
          </c:val>
        </c:ser>
        <c:dLbls>
          <c:showLegendKey val="0"/>
          <c:showVal val="0"/>
          <c:showCatName val="0"/>
          <c:showSerName val="0"/>
          <c:showPercent val="0"/>
          <c:showBubbleSize val="0"/>
        </c:dLbls>
        <c:gapWidth val="150"/>
        <c:axId val="106818560"/>
        <c:axId val="106853120"/>
      </c:barChart>
      <c:catAx>
        <c:axId val="106818560"/>
        <c:scaling>
          <c:orientation val="minMax"/>
        </c:scaling>
        <c:delete val="0"/>
        <c:axPos val="l"/>
        <c:numFmt formatCode="General" sourceLinked="1"/>
        <c:majorTickMark val="none"/>
        <c:minorTickMark val="none"/>
        <c:tickLblPos val="nextTo"/>
        <c:crossAx val="106853120"/>
        <c:crosses val="autoZero"/>
        <c:auto val="1"/>
        <c:lblAlgn val="ctr"/>
        <c:lblOffset val="100"/>
        <c:noMultiLvlLbl val="0"/>
      </c:catAx>
      <c:valAx>
        <c:axId val="106853120"/>
        <c:scaling>
          <c:orientation val="minMax"/>
        </c:scaling>
        <c:delete val="0"/>
        <c:axPos val="b"/>
        <c:majorGridlines/>
        <c:numFmt formatCode="0%" sourceLinked="1"/>
        <c:majorTickMark val="none"/>
        <c:minorTickMark val="none"/>
        <c:tickLblPos val="nextTo"/>
        <c:crossAx val="106818560"/>
        <c:crosses val="autoZero"/>
        <c:crossBetween val="between"/>
      </c:valAx>
    </c:plotArea>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26 - Appraisals by Age Band</a:t>
            </a:r>
          </a:p>
        </c:rich>
      </c:tx>
      <c:overlay val="0"/>
    </c:title>
    <c:autoTitleDeleted val="0"/>
    <c:plotArea>
      <c:layout/>
      <c:barChart>
        <c:barDir val="col"/>
        <c:grouping val="clustered"/>
        <c:varyColors val="0"/>
        <c:ser>
          <c:idx val="0"/>
          <c:order val="0"/>
          <c:tx>
            <c:strRef>
              <c:f>'Appraisal Analysis'!$C$157</c:f>
              <c:strCache>
                <c:ptCount val="1"/>
                <c:pt idx="0">
                  <c:v>Not Completed</c:v>
                </c:pt>
              </c:strCache>
            </c:strRef>
          </c:tx>
          <c:invertIfNegative val="0"/>
          <c:cat>
            <c:strRef>
              <c:f>'Appraisal Analysis'!$B$158:$B$167</c:f>
              <c:strCache>
                <c:ptCount val="10"/>
                <c:pt idx="0">
                  <c:v>16 - 20</c:v>
                </c:pt>
                <c:pt idx="1">
                  <c:v>21 - 25</c:v>
                </c:pt>
                <c:pt idx="2">
                  <c:v>26 - 30</c:v>
                </c:pt>
                <c:pt idx="3">
                  <c:v>31 - 35</c:v>
                </c:pt>
                <c:pt idx="4">
                  <c:v>36 - 40</c:v>
                </c:pt>
                <c:pt idx="5">
                  <c:v>41 - 45</c:v>
                </c:pt>
                <c:pt idx="6">
                  <c:v>46 - 50</c:v>
                </c:pt>
                <c:pt idx="7">
                  <c:v>51 - 55</c:v>
                </c:pt>
                <c:pt idx="8">
                  <c:v>56 - 60</c:v>
                </c:pt>
                <c:pt idx="9">
                  <c:v>61 - 65</c:v>
                </c:pt>
              </c:strCache>
            </c:strRef>
          </c:cat>
          <c:val>
            <c:numRef>
              <c:f>'Appraisal Analysis'!$C$158:$C$167</c:f>
              <c:numCache>
                <c:formatCode>0.00%</c:formatCode>
                <c:ptCount val="10"/>
                <c:pt idx="0">
                  <c:v>0.44827586206896552</c:v>
                </c:pt>
                <c:pt idx="1">
                  <c:v>0.34351145038167941</c:v>
                </c:pt>
                <c:pt idx="2">
                  <c:v>0.3648293963254593</c:v>
                </c:pt>
                <c:pt idx="3">
                  <c:v>0.36445444319460069</c:v>
                </c:pt>
                <c:pt idx="4">
                  <c:v>0.34397528321318227</c:v>
                </c:pt>
                <c:pt idx="5">
                  <c:v>0.34129692832764508</c:v>
                </c:pt>
                <c:pt idx="6">
                  <c:v>0.30657492354740062</c:v>
                </c:pt>
                <c:pt idx="7">
                  <c:v>0.33633387888707039</c:v>
                </c:pt>
                <c:pt idx="8">
                  <c:v>0.31954022988505748</c:v>
                </c:pt>
                <c:pt idx="9">
                  <c:v>0.31486146095717882</c:v>
                </c:pt>
              </c:numCache>
            </c:numRef>
          </c:val>
        </c:ser>
        <c:ser>
          <c:idx val="1"/>
          <c:order val="1"/>
          <c:tx>
            <c:strRef>
              <c:f>'Appraisal Analysis'!$D$157</c:f>
              <c:strCache>
                <c:ptCount val="1"/>
                <c:pt idx="0">
                  <c:v>Completed</c:v>
                </c:pt>
              </c:strCache>
            </c:strRef>
          </c:tx>
          <c:invertIfNegative val="0"/>
          <c:cat>
            <c:strRef>
              <c:f>'Appraisal Analysis'!$B$158:$B$167</c:f>
              <c:strCache>
                <c:ptCount val="10"/>
                <c:pt idx="0">
                  <c:v>16 - 20</c:v>
                </c:pt>
                <c:pt idx="1">
                  <c:v>21 - 25</c:v>
                </c:pt>
                <c:pt idx="2">
                  <c:v>26 - 30</c:v>
                </c:pt>
                <c:pt idx="3">
                  <c:v>31 - 35</c:v>
                </c:pt>
                <c:pt idx="4">
                  <c:v>36 - 40</c:v>
                </c:pt>
                <c:pt idx="5">
                  <c:v>41 - 45</c:v>
                </c:pt>
                <c:pt idx="6">
                  <c:v>46 - 50</c:v>
                </c:pt>
                <c:pt idx="7">
                  <c:v>51 - 55</c:v>
                </c:pt>
                <c:pt idx="8">
                  <c:v>56 - 60</c:v>
                </c:pt>
                <c:pt idx="9">
                  <c:v>61 - 65</c:v>
                </c:pt>
              </c:strCache>
            </c:strRef>
          </c:cat>
          <c:val>
            <c:numRef>
              <c:f>'Appraisal Analysis'!$D$158:$D$167</c:f>
              <c:numCache>
                <c:formatCode>0.00%</c:formatCode>
                <c:ptCount val="10"/>
                <c:pt idx="0">
                  <c:v>0.55172413793103448</c:v>
                </c:pt>
                <c:pt idx="1">
                  <c:v>0.65648854961832059</c:v>
                </c:pt>
                <c:pt idx="2">
                  <c:v>0.6351706036745407</c:v>
                </c:pt>
                <c:pt idx="3">
                  <c:v>0.63554555680539937</c:v>
                </c:pt>
                <c:pt idx="4">
                  <c:v>0.65602471678681773</c:v>
                </c:pt>
                <c:pt idx="5">
                  <c:v>0.65870307167235498</c:v>
                </c:pt>
                <c:pt idx="6">
                  <c:v>0.69342507645259943</c:v>
                </c:pt>
                <c:pt idx="7">
                  <c:v>0.66366612111292966</c:v>
                </c:pt>
                <c:pt idx="8">
                  <c:v>0.68045977011494252</c:v>
                </c:pt>
                <c:pt idx="9">
                  <c:v>0.68513853904282118</c:v>
                </c:pt>
              </c:numCache>
            </c:numRef>
          </c:val>
        </c:ser>
        <c:dLbls>
          <c:showLegendKey val="0"/>
          <c:showVal val="0"/>
          <c:showCatName val="0"/>
          <c:showSerName val="0"/>
          <c:showPercent val="0"/>
          <c:showBubbleSize val="0"/>
        </c:dLbls>
        <c:gapWidth val="150"/>
        <c:axId val="106941056"/>
        <c:axId val="106946944"/>
      </c:barChart>
      <c:lineChart>
        <c:grouping val="standard"/>
        <c:varyColors val="0"/>
        <c:ser>
          <c:idx val="2"/>
          <c:order val="2"/>
          <c:tx>
            <c:strRef>
              <c:f>'Appraisal Analysis'!$E$157</c:f>
              <c:strCache>
                <c:ptCount val="1"/>
                <c:pt idx="0">
                  <c:v>Trust</c:v>
                </c:pt>
              </c:strCache>
            </c:strRef>
          </c:tx>
          <c:marker>
            <c:symbol val="none"/>
          </c:marker>
          <c:cat>
            <c:strRef>
              <c:f>'Appraisal Analysis'!$B$158:$B$167</c:f>
              <c:strCache>
                <c:ptCount val="10"/>
                <c:pt idx="0">
                  <c:v>16 - 20</c:v>
                </c:pt>
                <c:pt idx="1">
                  <c:v>21 - 25</c:v>
                </c:pt>
                <c:pt idx="2">
                  <c:v>26 - 30</c:v>
                </c:pt>
                <c:pt idx="3">
                  <c:v>31 - 35</c:v>
                </c:pt>
                <c:pt idx="4">
                  <c:v>36 - 40</c:v>
                </c:pt>
                <c:pt idx="5">
                  <c:v>41 - 45</c:v>
                </c:pt>
                <c:pt idx="6">
                  <c:v>46 - 50</c:v>
                </c:pt>
                <c:pt idx="7">
                  <c:v>51 - 55</c:v>
                </c:pt>
                <c:pt idx="8">
                  <c:v>56 - 60</c:v>
                </c:pt>
                <c:pt idx="9">
                  <c:v>61 - 65</c:v>
                </c:pt>
              </c:strCache>
            </c:strRef>
          </c:cat>
          <c:val>
            <c:numRef>
              <c:f>'Appraisal Analysis'!$E$158:$E$167</c:f>
              <c:numCache>
                <c:formatCode>0.00%</c:formatCode>
                <c:ptCount val="10"/>
                <c:pt idx="0">
                  <c:v>0.66269999999999996</c:v>
                </c:pt>
                <c:pt idx="1">
                  <c:v>0.66269999999999996</c:v>
                </c:pt>
                <c:pt idx="2">
                  <c:v>0.66269999999999996</c:v>
                </c:pt>
                <c:pt idx="3">
                  <c:v>0.66269999999999996</c:v>
                </c:pt>
                <c:pt idx="4">
                  <c:v>0.66269999999999996</c:v>
                </c:pt>
                <c:pt idx="5">
                  <c:v>0.66269999999999996</c:v>
                </c:pt>
                <c:pt idx="6">
                  <c:v>0.66269999999999996</c:v>
                </c:pt>
                <c:pt idx="7">
                  <c:v>0.66269999999999996</c:v>
                </c:pt>
                <c:pt idx="8">
                  <c:v>0.66269999999999996</c:v>
                </c:pt>
                <c:pt idx="9">
                  <c:v>0.66269999999999996</c:v>
                </c:pt>
              </c:numCache>
            </c:numRef>
          </c:val>
          <c:smooth val="0"/>
        </c:ser>
        <c:dLbls>
          <c:showLegendKey val="0"/>
          <c:showVal val="0"/>
          <c:showCatName val="0"/>
          <c:showSerName val="0"/>
          <c:showPercent val="0"/>
          <c:showBubbleSize val="0"/>
        </c:dLbls>
        <c:marker val="1"/>
        <c:smooth val="0"/>
        <c:axId val="106941056"/>
        <c:axId val="106946944"/>
      </c:lineChart>
      <c:catAx>
        <c:axId val="106941056"/>
        <c:scaling>
          <c:orientation val="minMax"/>
        </c:scaling>
        <c:delete val="0"/>
        <c:axPos val="b"/>
        <c:numFmt formatCode="General" sourceLinked="1"/>
        <c:majorTickMark val="none"/>
        <c:minorTickMark val="none"/>
        <c:tickLblPos val="nextTo"/>
        <c:crossAx val="106946944"/>
        <c:crosses val="autoZero"/>
        <c:auto val="1"/>
        <c:lblAlgn val="ctr"/>
        <c:lblOffset val="100"/>
        <c:noMultiLvlLbl val="0"/>
      </c:catAx>
      <c:valAx>
        <c:axId val="106946944"/>
        <c:scaling>
          <c:orientation val="minMax"/>
        </c:scaling>
        <c:delete val="0"/>
        <c:axPos val="l"/>
        <c:majorGridlines/>
        <c:numFmt formatCode="0.00%" sourceLinked="1"/>
        <c:majorTickMark val="none"/>
        <c:minorTickMark val="none"/>
        <c:tickLblPos val="nextTo"/>
        <c:crossAx val="106941056"/>
        <c:crosses val="autoZero"/>
        <c:crossBetween val="between"/>
      </c:valAx>
    </c:plotArea>
    <c:legend>
      <c:legendPos val="r"/>
      <c:overlay val="0"/>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27 - Percentage Staff by Religion and Belief (inc no</a:t>
            </a:r>
            <a:r>
              <a:rPr lang="en-GB" sz="1200" baseline="0"/>
              <a:t> belief)</a:t>
            </a:r>
            <a:endParaRPr lang="en-GB" sz="1200"/>
          </a:p>
        </c:rich>
      </c:tx>
      <c:overlay val="0"/>
    </c:title>
    <c:autoTitleDeleted val="0"/>
    <c:plotArea>
      <c:layout/>
      <c:barChart>
        <c:barDir val="col"/>
        <c:grouping val="clustered"/>
        <c:varyColors val="0"/>
        <c:ser>
          <c:idx val="0"/>
          <c:order val="0"/>
          <c:invertIfNegative val="0"/>
          <c:cat>
            <c:strRef>
              <c:f>'Trust Population'!$B$46:$B$55</c:f>
              <c:strCache>
                <c:ptCount val="10"/>
                <c:pt idx="0">
                  <c:v>Atheism</c:v>
                </c:pt>
                <c:pt idx="1">
                  <c:v>Buddhism</c:v>
                </c:pt>
                <c:pt idx="2">
                  <c:v>Christianity</c:v>
                </c:pt>
                <c:pt idx="3">
                  <c:v>Hinduism</c:v>
                </c:pt>
                <c:pt idx="4">
                  <c:v>I do not wish to disclose my religion/belief</c:v>
                </c:pt>
                <c:pt idx="5">
                  <c:v>Islam</c:v>
                </c:pt>
                <c:pt idx="6">
                  <c:v>Judaism</c:v>
                </c:pt>
                <c:pt idx="7">
                  <c:v>Other</c:v>
                </c:pt>
                <c:pt idx="8">
                  <c:v>Sikhism</c:v>
                </c:pt>
                <c:pt idx="9">
                  <c:v>Undefined</c:v>
                </c:pt>
              </c:strCache>
            </c:strRef>
          </c:cat>
          <c:val>
            <c:numRef>
              <c:f>'Trust Population'!$C$46:$C$55</c:f>
              <c:numCache>
                <c:formatCode>0.0%</c:formatCode>
                <c:ptCount val="10"/>
                <c:pt idx="0">
                  <c:v>4.2320819112627986E-2</c:v>
                </c:pt>
                <c:pt idx="1">
                  <c:v>1.3651877133105802E-3</c:v>
                </c:pt>
                <c:pt idx="2">
                  <c:v>0.28210628961482204</c:v>
                </c:pt>
                <c:pt idx="3">
                  <c:v>7.9960994636762549E-3</c:v>
                </c:pt>
                <c:pt idx="4">
                  <c:v>0.203022915650902</c:v>
                </c:pt>
                <c:pt idx="5">
                  <c:v>3.7835202340321797E-2</c:v>
                </c:pt>
                <c:pt idx="6">
                  <c:v>4.8756704046806434E-4</c:v>
                </c:pt>
                <c:pt idx="7">
                  <c:v>4.2515845928815209E-2</c:v>
                </c:pt>
                <c:pt idx="8">
                  <c:v>9.9463676255485134E-3</c:v>
                </c:pt>
                <c:pt idx="9">
                  <c:v>0.37240370550950758</c:v>
                </c:pt>
              </c:numCache>
            </c:numRef>
          </c:val>
        </c:ser>
        <c:dLbls>
          <c:showLegendKey val="0"/>
          <c:showVal val="0"/>
          <c:showCatName val="0"/>
          <c:showSerName val="0"/>
          <c:showPercent val="0"/>
          <c:showBubbleSize val="0"/>
        </c:dLbls>
        <c:gapWidth val="150"/>
        <c:axId val="107270912"/>
        <c:axId val="107272448"/>
      </c:barChart>
      <c:catAx>
        <c:axId val="107270912"/>
        <c:scaling>
          <c:orientation val="minMax"/>
        </c:scaling>
        <c:delete val="0"/>
        <c:axPos val="b"/>
        <c:numFmt formatCode="General" sourceLinked="1"/>
        <c:majorTickMark val="none"/>
        <c:minorTickMark val="none"/>
        <c:tickLblPos val="nextTo"/>
        <c:crossAx val="107272448"/>
        <c:crosses val="autoZero"/>
        <c:auto val="1"/>
        <c:lblAlgn val="ctr"/>
        <c:lblOffset val="100"/>
        <c:noMultiLvlLbl val="0"/>
      </c:catAx>
      <c:valAx>
        <c:axId val="107272448"/>
        <c:scaling>
          <c:orientation val="minMax"/>
        </c:scaling>
        <c:delete val="0"/>
        <c:axPos val="l"/>
        <c:majorGridlines/>
        <c:numFmt formatCode="0.00%" sourceLinked="0"/>
        <c:majorTickMark val="none"/>
        <c:minorTickMark val="none"/>
        <c:tickLblPos val="nextTo"/>
        <c:crossAx val="107270912"/>
        <c:crosses val="autoZero"/>
        <c:crossBetween val="between"/>
      </c:valAx>
    </c:plotArea>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28 - Religious Belief by Staff Group</a:t>
            </a:r>
          </a:p>
        </c:rich>
      </c:tx>
      <c:layout>
        <c:manualLayout>
          <c:xMode val="edge"/>
          <c:yMode val="edge"/>
          <c:x val="0.23994838774649571"/>
          <c:y val="1.8867924528301886E-2"/>
        </c:manualLayout>
      </c:layout>
      <c:overlay val="0"/>
    </c:title>
    <c:autoTitleDeleted val="0"/>
    <c:plotArea>
      <c:layout/>
      <c:barChart>
        <c:barDir val="col"/>
        <c:grouping val="percentStacked"/>
        <c:varyColors val="0"/>
        <c:ser>
          <c:idx val="0"/>
          <c:order val="0"/>
          <c:tx>
            <c:strRef>
              <c:f>'Staff Group Analysis'!$C$54</c:f>
              <c:strCache>
                <c:ptCount val="1"/>
                <c:pt idx="0">
                  <c:v>Atheism</c:v>
                </c:pt>
              </c:strCache>
            </c:strRef>
          </c:tx>
          <c:invertIfNegative val="0"/>
          <c:cat>
            <c:strRef>
              <c:f>'Staff Group Analysis'!$B$55:$B$66</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Analysis'!$C$55:$C$66</c:f>
              <c:numCache>
                <c:formatCode>0.00%</c:formatCode>
                <c:ptCount val="12"/>
                <c:pt idx="0">
                  <c:v>3.8839979285344384E-2</c:v>
                </c:pt>
                <c:pt idx="1">
                  <c:v>3.5433070866141732E-2</c:v>
                </c:pt>
                <c:pt idx="2">
                  <c:v>3.0708661417322834E-2</c:v>
                </c:pt>
                <c:pt idx="3">
                  <c:v>3.8095238095238095E-3</c:v>
                </c:pt>
                <c:pt idx="4">
                  <c:v>2.0833333333333332E-2</c:v>
                </c:pt>
                <c:pt idx="5">
                  <c:v>5.8823529411764705E-2</c:v>
                </c:pt>
                <c:pt idx="6">
                  <c:v>6.5248226950354607E-2</c:v>
                </c:pt>
                <c:pt idx="7">
                  <c:v>7.7490774907749083E-2</c:v>
                </c:pt>
                <c:pt idx="8">
                  <c:v>4.8338368580060423E-2</c:v>
                </c:pt>
                <c:pt idx="9">
                  <c:v>6.8181818181818177E-2</c:v>
                </c:pt>
                <c:pt idx="10">
                  <c:v>1.697792869269949E-3</c:v>
                </c:pt>
                <c:pt idx="11">
                  <c:v>5.0746268656716415E-2</c:v>
                </c:pt>
              </c:numCache>
            </c:numRef>
          </c:val>
        </c:ser>
        <c:ser>
          <c:idx val="1"/>
          <c:order val="1"/>
          <c:tx>
            <c:strRef>
              <c:f>'Staff Group Analysis'!$D$54</c:f>
              <c:strCache>
                <c:ptCount val="1"/>
                <c:pt idx="0">
                  <c:v>Buddhism</c:v>
                </c:pt>
              </c:strCache>
            </c:strRef>
          </c:tx>
          <c:invertIfNegative val="0"/>
          <c:cat>
            <c:strRef>
              <c:f>'Staff Group Analysis'!$B$55:$B$66</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Analysis'!$D$55:$D$66</c:f>
              <c:numCache>
                <c:formatCode>0.00%</c:formatCode>
                <c:ptCount val="12"/>
                <c:pt idx="0">
                  <c:v>1.5535991714137752E-3</c:v>
                </c:pt>
                <c:pt idx="1">
                  <c:v>7.874015748031496E-3</c:v>
                </c:pt>
                <c:pt idx="2">
                  <c:v>7.874015748031496E-4</c:v>
                </c:pt>
                <c:pt idx="3">
                  <c:v>0</c:v>
                </c:pt>
                <c:pt idx="4">
                  <c:v>0</c:v>
                </c:pt>
                <c:pt idx="5">
                  <c:v>0</c:v>
                </c:pt>
                <c:pt idx="6">
                  <c:v>2.8368794326241137E-3</c:v>
                </c:pt>
                <c:pt idx="7">
                  <c:v>0</c:v>
                </c:pt>
                <c:pt idx="8">
                  <c:v>1.2084592145015106E-3</c:v>
                </c:pt>
                <c:pt idx="9">
                  <c:v>0</c:v>
                </c:pt>
                <c:pt idx="10">
                  <c:v>0</c:v>
                </c:pt>
                <c:pt idx="11">
                  <c:v>0</c:v>
                </c:pt>
              </c:numCache>
            </c:numRef>
          </c:val>
        </c:ser>
        <c:ser>
          <c:idx val="2"/>
          <c:order val="2"/>
          <c:tx>
            <c:strRef>
              <c:f>'Staff Group Analysis'!$E$54</c:f>
              <c:strCache>
                <c:ptCount val="1"/>
                <c:pt idx="0">
                  <c:v>Christianity</c:v>
                </c:pt>
              </c:strCache>
            </c:strRef>
          </c:tx>
          <c:invertIfNegative val="0"/>
          <c:cat>
            <c:strRef>
              <c:f>'Staff Group Analysis'!$B$55:$B$66</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Analysis'!$E$55:$E$66</c:f>
              <c:numCache>
                <c:formatCode>0.00%</c:formatCode>
                <c:ptCount val="12"/>
                <c:pt idx="0">
                  <c:v>0.30295183842568618</c:v>
                </c:pt>
                <c:pt idx="1">
                  <c:v>0.25590551181102361</c:v>
                </c:pt>
                <c:pt idx="2">
                  <c:v>0.26929133858267718</c:v>
                </c:pt>
                <c:pt idx="3">
                  <c:v>3.2380952380952378E-2</c:v>
                </c:pt>
                <c:pt idx="4">
                  <c:v>0.36458333333333331</c:v>
                </c:pt>
                <c:pt idx="5">
                  <c:v>0.18823529411764706</c:v>
                </c:pt>
                <c:pt idx="6">
                  <c:v>0.2978723404255319</c:v>
                </c:pt>
                <c:pt idx="7">
                  <c:v>0.26076260762607628</c:v>
                </c:pt>
                <c:pt idx="8">
                  <c:v>0.36978851963746223</c:v>
                </c:pt>
                <c:pt idx="9">
                  <c:v>0.26136363636363635</c:v>
                </c:pt>
                <c:pt idx="10">
                  <c:v>1.1884550084889643E-2</c:v>
                </c:pt>
                <c:pt idx="11">
                  <c:v>0.2746268656716418</c:v>
                </c:pt>
              </c:numCache>
            </c:numRef>
          </c:val>
        </c:ser>
        <c:ser>
          <c:idx val="3"/>
          <c:order val="3"/>
          <c:tx>
            <c:strRef>
              <c:f>'Staff Group Analysis'!$F$54</c:f>
              <c:strCache>
                <c:ptCount val="1"/>
                <c:pt idx="0">
                  <c:v>Hinduism</c:v>
                </c:pt>
              </c:strCache>
            </c:strRef>
          </c:tx>
          <c:invertIfNegative val="0"/>
          <c:cat>
            <c:strRef>
              <c:f>'Staff Group Analysis'!$B$55:$B$66</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Analysis'!$F$55:$F$66</c:f>
              <c:numCache>
                <c:formatCode>0.00%</c:formatCode>
                <c:ptCount val="12"/>
                <c:pt idx="0">
                  <c:v>1.1910926980838944E-2</c:v>
                </c:pt>
                <c:pt idx="1">
                  <c:v>3.937007874015748E-3</c:v>
                </c:pt>
                <c:pt idx="2">
                  <c:v>3.1496062992125984E-3</c:v>
                </c:pt>
                <c:pt idx="3">
                  <c:v>1.3333333333333334E-2</c:v>
                </c:pt>
                <c:pt idx="4">
                  <c:v>0</c:v>
                </c:pt>
                <c:pt idx="5">
                  <c:v>3.5294117647058823E-2</c:v>
                </c:pt>
                <c:pt idx="6">
                  <c:v>1.7021276595744681E-2</c:v>
                </c:pt>
                <c:pt idx="7">
                  <c:v>1.5990159901599015E-2</c:v>
                </c:pt>
                <c:pt idx="8">
                  <c:v>3.0211480362537764E-3</c:v>
                </c:pt>
                <c:pt idx="9">
                  <c:v>1.1363636363636364E-2</c:v>
                </c:pt>
                <c:pt idx="10">
                  <c:v>8.4889643463497456E-3</c:v>
                </c:pt>
                <c:pt idx="11">
                  <c:v>5.9701492537313433E-3</c:v>
                </c:pt>
              </c:numCache>
            </c:numRef>
          </c:val>
        </c:ser>
        <c:ser>
          <c:idx val="4"/>
          <c:order val="4"/>
          <c:tx>
            <c:strRef>
              <c:f>'Staff Group Analysis'!$G$54</c:f>
              <c:strCache>
                <c:ptCount val="1"/>
                <c:pt idx="0">
                  <c:v>Do not wish to disclose</c:v>
                </c:pt>
              </c:strCache>
            </c:strRef>
          </c:tx>
          <c:invertIfNegative val="0"/>
          <c:cat>
            <c:strRef>
              <c:f>'Staff Group Analysis'!$B$55:$B$66</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Analysis'!$G$55:$G$66</c:f>
              <c:numCache>
                <c:formatCode>0.00%</c:formatCode>
                <c:ptCount val="12"/>
                <c:pt idx="0">
                  <c:v>0.13153806317969963</c:v>
                </c:pt>
                <c:pt idx="1">
                  <c:v>0.10039370078740158</c:v>
                </c:pt>
                <c:pt idx="2">
                  <c:v>0.19055118110236222</c:v>
                </c:pt>
                <c:pt idx="3">
                  <c:v>0.87619047619047619</c:v>
                </c:pt>
                <c:pt idx="4">
                  <c:v>7.2916666666666671E-2</c:v>
                </c:pt>
                <c:pt idx="5">
                  <c:v>0.2</c:v>
                </c:pt>
                <c:pt idx="6">
                  <c:v>0.17588652482269504</c:v>
                </c:pt>
                <c:pt idx="7">
                  <c:v>0.11070110701107011</c:v>
                </c:pt>
                <c:pt idx="8">
                  <c:v>0.15951661631419939</c:v>
                </c:pt>
                <c:pt idx="9">
                  <c:v>0.27272727272727271</c:v>
                </c:pt>
                <c:pt idx="10">
                  <c:v>0.39049235993208831</c:v>
                </c:pt>
                <c:pt idx="11">
                  <c:v>0.16417910447761194</c:v>
                </c:pt>
              </c:numCache>
            </c:numRef>
          </c:val>
        </c:ser>
        <c:ser>
          <c:idx val="5"/>
          <c:order val="5"/>
          <c:tx>
            <c:strRef>
              <c:f>'Staff Group Analysis'!$H$54</c:f>
              <c:strCache>
                <c:ptCount val="1"/>
                <c:pt idx="0">
                  <c:v>Islam</c:v>
                </c:pt>
              </c:strCache>
            </c:strRef>
          </c:tx>
          <c:invertIfNegative val="0"/>
          <c:cat>
            <c:strRef>
              <c:f>'Staff Group Analysis'!$B$55:$B$66</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Analysis'!$H$55:$H$66</c:f>
              <c:numCache>
                <c:formatCode>0.00%</c:formatCode>
                <c:ptCount val="12"/>
                <c:pt idx="0">
                  <c:v>3.8839979285344384E-2</c:v>
                </c:pt>
                <c:pt idx="1">
                  <c:v>3.3464566929133861E-2</c:v>
                </c:pt>
                <c:pt idx="2">
                  <c:v>3.858267716535433E-2</c:v>
                </c:pt>
                <c:pt idx="3">
                  <c:v>3.2380952380952378E-2</c:v>
                </c:pt>
                <c:pt idx="4">
                  <c:v>2.0833333333333332E-2</c:v>
                </c:pt>
                <c:pt idx="5">
                  <c:v>0.16470588235294117</c:v>
                </c:pt>
                <c:pt idx="6">
                  <c:v>5.2482269503546099E-2</c:v>
                </c:pt>
                <c:pt idx="7">
                  <c:v>7.7490774907749083E-2</c:v>
                </c:pt>
                <c:pt idx="8">
                  <c:v>2.8700906344410877E-2</c:v>
                </c:pt>
                <c:pt idx="9">
                  <c:v>1.1363636363636364E-2</c:v>
                </c:pt>
                <c:pt idx="10">
                  <c:v>1.6977928692699491E-2</c:v>
                </c:pt>
                <c:pt idx="11">
                  <c:v>2.3880597014925373E-2</c:v>
                </c:pt>
              </c:numCache>
            </c:numRef>
          </c:val>
        </c:ser>
        <c:ser>
          <c:idx val="6"/>
          <c:order val="6"/>
          <c:tx>
            <c:strRef>
              <c:f>'Staff Group Analysis'!$I$54</c:f>
              <c:strCache>
                <c:ptCount val="1"/>
                <c:pt idx="0">
                  <c:v>Judaism</c:v>
                </c:pt>
              </c:strCache>
            </c:strRef>
          </c:tx>
          <c:invertIfNegative val="0"/>
          <c:cat>
            <c:strRef>
              <c:f>'Staff Group Analysis'!$B$55:$B$66</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Analysis'!$I$55:$I$66</c:f>
              <c:numCache>
                <c:formatCode>0.00%</c:formatCode>
                <c:ptCount val="12"/>
                <c:pt idx="0">
                  <c:v>5.1786639047125837E-4</c:v>
                </c:pt>
                <c:pt idx="1">
                  <c:v>0</c:v>
                </c:pt>
                <c:pt idx="2">
                  <c:v>7.874015748031496E-4</c:v>
                </c:pt>
                <c:pt idx="3">
                  <c:v>3.8095238095238095E-3</c:v>
                </c:pt>
                <c:pt idx="4">
                  <c:v>0</c:v>
                </c:pt>
                <c:pt idx="5">
                  <c:v>0</c:v>
                </c:pt>
                <c:pt idx="6">
                  <c:v>0</c:v>
                </c:pt>
                <c:pt idx="7">
                  <c:v>0</c:v>
                </c:pt>
                <c:pt idx="8">
                  <c:v>3.0211480362537764E-4</c:v>
                </c:pt>
                <c:pt idx="9">
                  <c:v>0</c:v>
                </c:pt>
                <c:pt idx="10">
                  <c:v>0</c:v>
                </c:pt>
                <c:pt idx="11">
                  <c:v>0</c:v>
                </c:pt>
              </c:numCache>
            </c:numRef>
          </c:val>
        </c:ser>
        <c:ser>
          <c:idx val="7"/>
          <c:order val="7"/>
          <c:tx>
            <c:strRef>
              <c:f>'Staff Group Analysis'!$J$54</c:f>
              <c:strCache>
                <c:ptCount val="1"/>
                <c:pt idx="0">
                  <c:v>Other</c:v>
                </c:pt>
              </c:strCache>
            </c:strRef>
          </c:tx>
          <c:invertIfNegative val="0"/>
          <c:cat>
            <c:strRef>
              <c:f>'Staff Group Analysis'!$B$55:$B$66</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Analysis'!$J$55:$J$66</c:f>
              <c:numCache>
                <c:formatCode>0.00%</c:formatCode>
                <c:ptCount val="12"/>
                <c:pt idx="0">
                  <c:v>4.9197307094769549E-2</c:v>
                </c:pt>
                <c:pt idx="1">
                  <c:v>4.7244094488188976E-2</c:v>
                </c:pt>
                <c:pt idx="2">
                  <c:v>5.6692913385826771E-2</c:v>
                </c:pt>
                <c:pt idx="3">
                  <c:v>1.9047619047619048E-3</c:v>
                </c:pt>
                <c:pt idx="4">
                  <c:v>5.2083333333333336E-2</c:v>
                </c:pt>
                <c:pt idx="5">
                  <c:v>2.3529411764705882E-2</c:v>
                </c:pt>
                <c:pt idx="6">
                  <c:v>4.5390070921985819E-2</c:v>
                </c:pt>
                <c:pt idx="7">
                  <c:v>4.9200492004920049E-2</c:v>
                </c:pt>
                <c:pt idx="8">
                  <c:v>4.4712990936555889E-2</c:v>
                </c:pt>
                <c:pt idx="9">
                  <c:v>5.6818181818181816E-2</c:v>
                </c:pt>
                <c:pt idx="10">
                  <c:v>0</c:v>
                </c:pt>
                <c:pt idx="11">
                  <c:v>3.5820895522388062E-2</c:v>
                </c:pt>
              </c:numCache>
            </c:numRef>
          </c:val>
        </c:ser>
        <c:ser>
          <c:idx val="8"/>
          <c:order val="8"/>
          <c:tx>
            <c:strRef>
              <c:f>'Staff Group Analysis'!$K$54</c:f>
              <c:strCache>
                <c:ptCount val="1"/>
                <c:pt idx="0">
                  <c:v>Sikhism</c:v>
                </c:pt>
              </c:strCache>
            </c:strRef>
          </c:tx>
          <c:invertIfNegative val="0"/>
          <c:cat>
            <c:strRef>
              <c:f>'Staff Group Analysis'!$B$55:$B$66</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Analysis'!$K$55:$K$66</c:f>
              <c:numCache>
                <c:formatCode>0.00%</c:formatCode>
                <c:ptCount val="12"/>
                <c:pt idx="0">
                  <c:v>8.8037286380113922E-3</c:v>
                </c:pt>
                <c:pt idx="1">
                  <c:v>3.937007874015748E-3</c:v>
                </c:pt>
                <c:pt idx="2">
                  <c:v>1.1023622047244094E-2</c:v>
                </c:pt>
                <c:pt idx="3">
                  <c:v>5.7142857142857143E-3</c:v>
                </c:pt>
                <c:pt idx="4">
                  <c:v>0</c:v>
                </c:pt>
                <c:pt idx="5">
                  <c:v>0.14117647058823529</c:v>
                </c:pt>
                <c:pt idx="6">
                  <c:v>9.9290780141843976E-3</c:v>
                </c:pt>
                <c:pt idx="7">
                  <c:v>2.9520295202952029E-2</c:v>
                </c:pt>
                <c:pt idx="8">
                  <c:v>5.1359516616314204E-3</c:v>
                </c:pt>
                <c:pt idx="9">
                  <c:v>0</c:v>
                </c:pt>
                <c:pt idx="10">
                  <c:v>1.697792869269949E-3</c:v>
                </c:pt>
                <c:pt idx="11">
                  <c:v>1.4925373134328358E-2</c:v>
                </c:pt>
              </c:numCache>
            </c:numRef>
          </c:val>
        </c:ser>
        <c:ser>
          <c:idx val="9"/>
          <c:order val="9"/>
          <c:tx>
            <c:strRef>
              <c:f>'Staff Group Analysis'!$L$54</c:f>
              <c:strCache>
                <c:ptCount val="1"/>
                <c:pt idx="0">
                  <c:v>Undefined</c:v>
                </c:pt>
              </c:strCache>
            </c:strRef>
          </c:tx>
          <c:invertIfNegative val="0"/>
          <c:cat>
            <c:strRef>
              <c:f>'Staff Group Analysis'!$B$55:$B$66</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Analysis'!$L$55:$L$66</c:f>
              <c:numCache>
                <c:formatCode>0.00%</c:formatCode>
                <c:ptCount val="12"/>
                <c:pt idx="0">
                  <c:v>0.41584671154842051</c:v>
                </c:pt>
                <c:pt idx="1">
                  <c:v>0.51181102362204722</c:v>
                </c:pt>
                <c:pt idx="2">
                  <c:v>0.39842519685039368</c:v>
                </c:pt>
                <c:pt idx="3">
                  <c:v>3.0476190476190476E-2</c:v>
                </c:pt>
                <c:pt idx="4">
                  <c:v>0.46875</c:v>
                </c:pt>
                <c:pt idx="5">
                  <c:v>0.18823529411764706</c:v>
                </c:pt>
                <c:pt idx="6">
                  <c:v>0.33333333333333331</c:v>
                </c:pt>
                <c:pt idx="7">
                  <c:v>0.37884378843788435</c:v>
                </c:pt>
                <c:pt idx="8">
                  <c:v>0.33927492447129909</c:v>
                </c:pt>
                <c:pt idx="9">
                  <c:v>0.31818181818181818</c:v>
                </c:pt>
                <c:pt idx="10">
                  <c:v>0.56876061120543298</c:v>
                </c:pt>
                <c:pt idx="11">
                  <c:v>0.42985074626865671</c:v>
                </c:pt>
              </c:numCache>
            </c:numRef>
          </c:val>
        </c:ser>
        <c:dLbls>
          <c:showLegendKey val="0"/>
          <c:showVal val="0"/>
          <c:showCatName val="0"/>
          <c:showSerName val="0"/>
          <c:showPercent val="0"/>
          <c:showBubbleSize val="0"/>
        </c:dLbls>
        <c:gapWidth val="55"/>
        <c:overlap val="100"/>
        <c:axId val="117650944"/>
        <c:axId val="117652480"/>
      </c:barChart>
      <c:catAx>
        <c:axId val="117650944"/>
        <c:scaling>
          <c:orientation val="minMax"/>
        </c:scaling>
        <c:delete val="0"/>
        <c:axPos val="b"/>
        <c:numFmt formatCode="General" sourceLinked="1"/>
        <c:majorTickMark val="none"/>
        <c:minorTickMark val="none"/>
        <c:tickLblPos val="nextTo"/>
        <c:crossAx val="117652480"/>
        <c:crosses val="autoZero"/>
        <c:auto val="1"/>
        <c:lblAlgn val="ctr"/>
        <c:lblOffset val="100"/>
        <c:noMultiLvlLbl val="0"/>
      </c:catAx>
      <c:valAx>
        <c:axId val="117652480"/>
        <c:scaling>
          <c:orientation val="minMax"/>
        </c:scaling>
        <c:delete val="0"/>
        <c:axPos val="l"/>
        <c:majorGridlines/>
        <c:numFmt formatCode="0%" sourceLinked="1"/>
        <c:majorTickMark val="none"/>
        <c:minorTickMark val="none"/>
        <c:tickLblPos val="nextTo"/>
        <c:crossAx val="117650944"/>
        <c:crosses val="autoZero"/>
        <c:crossBetween val="between"/>
      </c:valAx>
    </c:plotArea>
    <c:legend>
      <c:legendPos val="r"/>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29 - Percentage Staff by Sexual Orientation</a:t>
            </a:r>
          </a:p>
        </c:rich>
      </c:tx>
      <c:overlay val="0"/>
    </c:title>
    <c:autoTitleDeleted val="0"/>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Lbls>
            <c:dLbl>
              <c:idx val="1"/>
              <c:tx>
                <c:rich>
                  <a:bodyPr/>
                  <a:lstStyle/>
                  <a:p>
                    <a:pPr>
                      <a:defRPr/>
                    </a:pPr>
                    <a:r>
                      <a:rPr lang="en-US"/>
                      <a:t>Bisexual
0.27%</a:t>
                    </a:r>
                  </a:p>
                </c:rich>
              </c:tx>
              <c:spPr/>
              <c:showLegendKey val="0"/>
              <c:showVal val="0"/>
              <c:showCatName val="0"/>
              <c:showSerName val="0"/>
              <c:showPercent val="0"/>
              <c:showBubbleSize val="0"/>
            </c:dLbl>
            <c:dLbl>
              <c:idx val="2"/>
              <c:tx>
                <c:rich>
                  <a:bodyPr/>
                  <a:lstStyle/>
                  <a:p>
                    <a:pPr>
                      <a:defRPr/>
                    </a:pPr>
                    <a:r>
                      <a:rPr lang="en-US"/>
                      <a:t>Gay
0.48%</a:t>
                    </a:r>
                  </a:p>
                </c:rich>
              </c:tx>
              <c:spPr/>
              <c:showLegendKey val="0"/>
              <c:showVal val="0"/>
              <c:showCatName val="0"/>
              <c:showSerName val="0"/>
              <c:showPercent val="0"/>
              <c:showBubbleSize val="0"/>
            </c:dLbl>
            <c:dLbl>
              <c:idx val="3"/>
              <c:tx>
                <c:rich>
                  <a:bodyPr/>
                  <a:lstStyle/>
                  <a:p>
                    <a:pPr>
                      <a:defRPr/>
                    </a:pPr>
                    <a:r>
                      <a:rPr lang="en-US"/>
                      <a:t>Heterosexual
42.71%</a:t>
                    </a:r>
                  </a:p>
                </c:rich>
              </c:tx>
              <c:spPr/>
              <c:showLegendKey val="0"/>
              <c:showVal val="0"/>
              <c:showCatName val="0"/>
              <c:showSerName val="0"/>
              <c:showPercent val="0"/>
              <c:showBubbleSize val="0"/>
            </c:dLbl>
            <c:dLbl>
              <c:idx val="4"/>
              <c:tx>
                <c:rich>
                  <a:bodyPr/>
                  <a:lstStyle/>
                  <a:p>
                    <a:pPr>
                      <a:defRPr/>
                    </a:pPr>
                    <a:r>
                      <a:rPr lang="en-US"/>
                      <a:t>I do not wish to disclose my sexual orientation
18.97%</a:t>
                    </a:r>
                  </a:p>
                </c:rich>
              </c:tx>
              <c:spPr/>
              <c:showLegendKey val="0"/>
              <c:showVal val="0"/>
              <c:showCatName val="0"/>
              <c:showSerName val="0"/>
              <c:showPercent val="0"/>
              <c:showBubbleSize val="0"/>
            </c:dLbl>
            <c:dLbl>
              <c:idx val="5"/>
              <c:tx>
                <c:rich>
                  <a:bodyPr/>
                  <a:lstStyle/>
                  <a:p>
                    <a:pPr>
                      <a:defRPr/>
                    </a:pPr>
                    <a:r>
                      <a:rPr lang="en-US"/>
                      <a:t>Lesbian
0.24%</a:t>
                    </a:r>
                  </a:p>
                </c:rich>
              </c:tx>
              <c:spPr/>
              <c:showLegendKey val="0"/>
              <c:showVal val="0"/>
              <c:showCatName val="0"/>
              <c:showSerName val="0"/>
              <c:showPercent val="0"/>
              <c:showBubbleSize val="0"/>
            </c:dLbl>
            <c:dLbl>
              <c:idx val="6"/>
              <c:tx>
                <c:rich>
                  <a:bodyPr/>
                  <a:lstStyle/>
                  <a:p>
                    <a:pPr>
                      <a:defRPr/>
                    </a:pPr>
                    <a:r>
                      <a:rPr lang="en-US"/>
                      <a:t>Undefined
37.33%</a:t>
                    </a:r>
                  </a:p>
                </c:rich>
              </c:tx>
              <c:spPr/>
              <c:showLegendKey val="0"/>
              <c:showVal val="0"/>
              <c:showCatName val="0"/>
              <c:showSerName val="0"/>
              <c:showPercent val="0"/>
              <c:showBubbleSize val="0"/>
            </c:dLbl>
            <c:showLegendKey val="0"/>
            <c:showVal val="0"/>
            <c:showCatName val="1"/>
            <c:showSerName val="0"/>
            <c:showPercent val="1"/>
            <c:showBubbleSize val="0"/>
            <c:showLeaderLines val="1"/>
          </c:dLbls>
          <c:cat>
            <c:strRef>
              <c:f>'Trust Population'!$B$17:$B$23</c:f>
              <c:strCache>
                <c:ptCount val="7"/>
                <c:pt idx="0">
                  <c:v>Sexual Orientation</c:v>
                </c:pt>
                <c:pt idx="1">
                  <c:v>Bisexual</c:v>
                </c:pt>
                <c:pt idx="2">
                  <c:v>Gay</c:v>
                </c:pt>
                <c:pt idx="3">
                  <c:v>Heterosexual</c:v>
                </c:pt>
                <c:pt idx="4">
                  <c:v>I do not wish to disclose my sexual orientation</c:v>
                </c:pt>
                <c:pt idx="5">
                  <c:v>Lesbian</c:v>
                </c:pt>
                <c:pt idx="6">
                  <c:v>Undefined</c:v>
                </c:pt>
              </c:strCache>
            </c:strRef>
          </c:cat>
          <c:val>
            <c:numRef>
              <c:f>'Trust Population'!$C$17:$C$23</c:f>
              <c:numCache>
                <c:formatCode>0.0%</c:formatCode>
                <c:ptCount val="7"/>
                <c:pt idx="1">
                  <c:v>2.7303754266211604E-3</c:v>
                </c:pt>
                <c:pt idx="2">
                  <c:v>4.7781569965870303E-3</c:v>
                </c:pt>
                <c:pt idx="3">
                  <c:v>0.42709999999999998</c:v>
                </c:pt>
                <c:pt idx="4">
                  <c:v>0.18966357874207704</c:v>
                </c:pt>
                <c:pt idx="5">
                  <c:v>2.4378352023403218E-3</c:v>
                </c:pt>
                <c:pt idx="6">
                  <c:v>0.37328132618235005</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100"/>
              <a:t>Graph 3 - Trustwide Vacancy Analysis by Ethnicity</a:t>
            </a:r>
          </a:p>
        </c:rich>
      </c:tx>
      <c:overlay val="0"/>
    </c:title>
    <c:autoTitleDeleted val="0"/>
    <c:plotArea>
      <c:layout/>
      <c:barChart>
        <c:barDir val="col"/>
        <c:grouping val="clustered"/>
        <c:varyColors val="0"/>
        <c:ser>
          <c:idx val="0"/>
          <c:order val="0"/>
          <c:tx>
            <c:strRef>
              <c:f>Equal_Opportunities_Progress!$M$19</c:f>
              <c:strCache>
                <c:ptCount val="1"/>
                <c:pt idx="0">
                  <c:v>Applied</c:v>
                </c:pt>
              </c:strCache>
            </c:strRef>
          </c:tx>
          <c:invertIfNegative val="0"/>
          <c:cat>
            <c:strRef>
              <c:f>Equal_Opportunities_Progress!$L$20:$L$21</c:f>
              <c:strCache>
                <c:ptCount val="2"/>
                <c:pt idx="0">
                  <c:v>White</c:v>
                </c:pt>
                <c:pt idx="1">
                  <c:v>BME</c:v>
                </c:pt>
              </c:strCache>
            </c:strRef>
          </c:cat>
          <c:val>
            <c:numRef>
              <c:f>Equal_Opportunities_Progress!$M$20:$M$21</c:f>
              <c:numCache>
                <c:formatCode>0%</c:formatCode>
                <c:ptCount val="2"/>
                <c:pt idx="0">
                  <c:v>0.51389373039191277</c:v>
                </c:pt>
                <c:pt idx="1">
                  <c:v>0.48610626960808723</c:v>
                </c:pt>
              </c:numCache>
            </c:numRef>
          </c:val>
        </c:ser>
        <c:ser>
          <c:idx val="1"/>
          <c:order val="1"/>
          <c:tx>
            <c:strRef>
              <c:f>Equal_Opportunities_Progress!$N$19</c:f>
              <c:strCache>
                <c:ptCount val="1"/>
                <c:pt idx="0">
                  <c:v>Shortlisted</c:v>
                </c:pt>
              </c:strCache>
            </c:strRef>
          </c:tx>
          <c:invertIfNegative val="0"/>
          <c:cat>
            <c:strRef>
              <c:f>Equal_Opportunities_Progress!$L$20:$L$21</c:f>
              <c:strCache>
                <c:ptCount val="2"/>
                <c:pt idx="0">
                  <c:v>White</c:v>
                </c:pt>
                <c:pt idx="1">
                  <c:v>BME</c:v>
                </c:pt>
              </c:strCache>
            </c:strRef>
          </c:cat>
          <c:val>
            <c:numRef>
              <c:f>Equal_Opportunities_Progress!$N$20:$N$21</c:f>
              <c:numCache>
                <c:formatCode>0%</c:formatCode>
                <c:ptCount val="2"/>
                <c:pt idx="0">
                  <c:v>0.57863060256319476</c:v>
                </c:pt>
                <c:pt idx="1">
                  <c:v>0.42136939743680524</c:v>
                </c:pt>
              </c:numCache>
            </c:numRef>
          </c:val>
        </c:ser>
        <c:ser>
          <c:idx val="2"/>
          <c:order val="2"/>
          <c:tx>
            <c:strRef>
              <c:f>Equal_Opportunities_Progress!$O$19</c:f>
              <c:strCache>
                <c:ptCount val="1"/>
                <c:pt idx="0">
                  <c:v>Appointed</c:v>
                </c:pt>
              </c:strCache>
            </c:strRef>
          </c:tx>
          <c:invertIfNegative val="0"/>
          <c:cat>
            <c:strRef>
              <c:f>Equal_Opportunities_Progress!$L$20:$L$21</c:f>
              <c:strCache>
                <c:ptCount val="2"/>
                <c:pt idx="0">
                  <c:v>White</c:v>
                </c:pt>
                <c:pt idx="1">
                  <c:v>BME</c:v>
                </c:pt>
              </c:strCache>
            </c:strRef>
          </c:cat>
          <c:val>
            <c:numRef>
              <c:f>Equal_Opportunities_Progress!$O$20:$O$21</c:f>
              <c:numCache>
                <c:formatCode>0%</c:formatCode>
                <c:ptCount val="2"/>
                <c:pt idx="0">
                  <c:v>0.70108415074858033</c:v>
                </c:pt>
                <c:pt idx="1">
                  <c:v>0.29891584925141973</c:v>
                </c:pt>
              </c:numCache>
            </c:numRef>
          </c:val>
        </c:ser>
        <c:dLbls>
          <c:showLegendKey val="0"/>
          <c:showVal val="0"/>
          <c:showCatName val="0"/>
          <c:showSerName val="0"/>
          <c:showPercent val="0"/>
          <c:showBubbleSize val="0"/>
        </c:dLbls>
        <c:gapWidth val="150"/>
        <c:axId val="105464576"/>
        <c:axId val="105466112"/>
      </c:barChart>
      <c:catAx>
        <c:axId val="105464576"/>
        <c:scaling>
          <c:orientation val="minMax"/>
        </c:scaling>
        <c:delete val="0"/>
        <c:axPos val="b"/>
        <c:majorTickMark val="none"/>
        <c:minorTickMark val="none"/>
        <c:tickLblPos val="nextTo"/>
        <c:crossAx val="105466112"/>
        <c:crosses val="autoZero"/>
        <c:auto val="1"/>
        <c:lblAlgn val="ctr"/>
        <c:lblOffset val="100"/>
        <c:noMultiLvlLbl val="0"/>
      </c:catAx>
      <c:valAx>
        <c:axId val="105466112"/>
        <c:scaling>
          <c:orientation val="minMax"/>
          <c:max val="1"/>
          <c:min val="0"/>
        </c:scaling>
        <c:delete val="0"/>
        <c:axPos val="l"/>
        <c:majorGridlines/>
        <c:numFmt formatCode="0%" sourceLinked="1"/>
        <c:majorTickMark val="none"/>
        <c:minorTickMark val="none"/>
        <c:tickLblPos val="nextTo"/>
        <c:crossAx val="105464576"/>
        <c:crosses val="autoZero"/>
        <c:crossBetween val="between"/>
      </c:valAx>
    </c:plotArea>
    <c:legend>
      <c:legendPos val="r"/>
      <c:overlay val="0"/>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30 - Sexual</a:t>
            </a:r>
            <a:r>
              <a:rPr lang="en-GB" sz="1200" baseline="0"/>
              <a:t> Orientation by Staff Group</a:t>
            </a:r>
            <a:endParaRPr lang="en-GB" sz="1200"/>
          </a:p>
        </c:rich>
      </c:tx>
      <c:overlay val="0"/>
    </c:title>
    <c:autoTitleDeleted val="0"/>
    <c:plotArea>
      <c:layout/>
      <c:barChart>
        <c:barDir val="col"/>
        <c:grouping val="percentStacked"/>
        <c:varyColors val="0"/>
        <c:ser>
          <c:idx val="0"/>
          <c:order val="0"/>
          <c:tx>
            <c:strRef>
              <c:f>'Staff Group Analysis'!$C$21</c:f>
              <c:strCache>
                <c:ptCount val="1"/>
                <c:pt idx="0">
                  <c:v>Bisexual</c:v>
                </c:pt>
              </c:strCache>
            </c:strRef>
          </c:tx>
          <c:invertIfNegative val="0"/>
          <c:cat>
            <c:strRef>
              <c:f>'Staff Group Analysis'!$B$22:$B$33</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Analysis'!$C$22:$C$33</c:f>
              <c:numCache>
                <c:formatCode>0.00%</c:formatCode>
                <c:ptCount val="12"/>
                <c:pt idx="0">
                  <c:v>2.5853154084798345E-3</c:v>
                </c:pt>
                <c:pt idx="1">
                  <c:v>7.8585461689587421E-3</c:v>
                </c:pt>
                <c:pt idx="2">
                  <c:v>4.7132757266300082E-3</c:v>
                </c:pt>
                <c:pt idx="3">
                  <c:v>0</c:v>
                </c:pt>
                <c:pt idx="4">
                  <c:v>0</c:v>
                </c:pt>
                <c:pt idx="5">
                  <c:v>0</c:v>
                </c:pt>
                <c:pt idx="6">
                  <c:v>1.4184397163120568E-3</c:v>
                </c:pt>
                <c:pt idx="7">
                  <c:v>1.2300123001230013E-3</c:v>
                </c:pt>
                <c:pt idx="8">
                  <c:v>3.3192516596258297E-3</c:v>
                </c:pt>
                <c:pt idx="9">
                  <c:v>0</c:v>
                </c:pt>
                <c:pt idx="10">
                  <c:v>0</c:v>
                </c:pt>
                <c:pt idx="11">
                  <c:v>0</c:v>
                </c:pt>
              </c:numCache>
            </c:numRef>
          </c:val>
        </c:ser>
        <c:ser>
          <c:idx val="1"/>
          <c:order val="1"/>
          <c:tx>
            <c:strRef>
              <c:f>'Staff Group Analysis'!$D$21</c:f>
              <c:strCache>
                <c:ptCount val="1"/>
                <c:pt idx="0">
                  <c:v>Gay</c:v>
                </c:pt>
              </c:strCache>
            </c:strRef>
          </c:tx>
          <c:invertIfNegative val="0"/>
          <c:cat>
            <c:strRef>
              <c:f>'Staff Group Analysis'!$B$22:$B$33</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Analysis'!$D$22:$D$33</c:f>
              <c:numCache>
                <c:formatCode>0.00%</c:formatCode>
                <c:ptCount val="12"/>
                <c:pt idx="0">
                  <c:v>2.5853154084798345E-3</c:v>
                </c:pt>
                <c:pt idx="1">
                  <c:v>0</c:v>
                </c:pt>
                <c:pt idx="2">
                  <c:v>7.0699135899450118E-3</c:v>
                </c:pt>
                <c:pt idx="3">
                  <c:v>0</c:v>
                </c:pt>
                <c:pt idx="4">
                  <c:v>0</c:v>
                </c:pt>
                <c:pt idx="5">
                  <c:v>0</c:v>
                </c:pt>
                <c:pt idx="6">
                  <c:v>1.4184397163120568E-3</c:v>
                </c:pt>
                <c:pt idx="7">
                  <c:v>8.6100861008610082E-3</c:v>
                </c:pt>
                <c:pt idx="8">
                  <c:v>6.9402534701267348E-3</c:v>
                </c:pt>
                <c:pt idx="9">
                  <c:v>0</c:v>
                </c:pt>
                <c:pt idx="10">
                  <c:v>0</c:v>
                </c:pt>
                <c:pt idx="11">
                  <c:v>1.1940298507462687E-2</c:v>
                </c:pt>
              </c:numCache>
            </c:numRef>
          </c:val>
        </c:ser>
        <c:ser>
          <c:idx val="2"/>
          <c:order val="2"/>
          <c:tx>
            <c:strRef>
              <c:f>'Staff Group Analysis'!$E$21</c:f>
              <c:strCache>
                <c:ptCount val="1"/>
                <c:pt idx="0">
                  <c:v>Heterosexual</c:v>
                </c:pt>
              </c:strCache>
            </c:strRef>
          </c:tx>
          <c:invertIfNegative val="0"/>
          <c:cat>
            <c:strRef>
              <c:f>'Staff Group Analysis'!$B$22:$B$33</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Analysis'!$E$22:$E$33</c:f>
              <c:numCache>
                <c:formatCode>0.00%</c:formatCode>
                <c:ptCount val="12"/>
                <c:pt idx="0">
                  <c:v>0.45810000000000001</c:v>
                </c:pt>
                <c:pt idx="1">
                  <c:v>0.38113948919449903</c:v>
                </c:pt>
                <c:pt idx="2">
                  <c:v>0.40377062058130403</c:v>
                </c:pt>
                <c:pt idx="3">
                  <c:v>0.1180952380952381</c:v>
                </c:pt>
                <c:pt idx="4">
                  <c:v>0.51041666666666663</c:v>
                </c:pt>
                <c:pt idx="5">
                  <c:v>0.62352941176470589</c:v>
                </c:pt>
                <c:pt idx="6">
                  <c:v>0.51205673758865244</c:v>
                </c:pt>
                <c:pt idx="7">
                  <c:v>0.51414514145141454</c:v>
                </c:pt>
                <c:pt idx="8">
                  <c:v>0.49366324683162344</c:v>
                </c:pt>
                <c:pt idx="9">
                  <c:v>0.42045454545454547</c:v>
                </c:pt>
                <c:pt idx="10">
                  <c:v>4.4142614601018676E-2</c:v>
                </c:pt>
                <c:pt idx="11">
                  <c:v>0.43880597014925371</c:v>
                </c:pt>
              </c:numCache>
            </c:numRef>
          </c:val>
        </c:ser>
        <c:ser>
          <c:idx val="3"/>
          <c:order val="3"/>
          <c:tx>
            <c:strRef>
              <c:f>'Staff Group Analysis'!$F$21</c:f>
              <c:strCache>
                <c:ptCount val="1"/>
                <c:pt idx="0">
                  <c:v>Do not wish to disclose</c:v>
                </c:pt>
              </c:strCache>
            </c:strRef>
          </c:tx>
          <c:invertIfNegative val="0"/>
          <c:cat>
            <c:strRef>
              <c:f>'Staff Group Analysis'!$B$22:$B$33</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Analysis'!$F$22:$F$33</c:f>
              <c:numCache>
                <c:formatCode>0.00%</c:formatCode>
                <c:ptCount val="12"/>
                <c:pt idx="0">
                  <c:v>0.11633919338159256</c:v>
                </c:pt>
                <c:pt idx="1">
                  <c:v>9.2337917485265222E-2</c:v>
                </c:pt>
                <c:pt idx="2">
                  <c:v>0.18224666142969365</c:v>
                </c:pt>
                <c:pt idx="3">
                  <c:v>0.85142857142857142</c:v>
                </c:pt>
                <c:pt idx="4">
                  <c:v>1.0416666666666666E-2</c:v>
                </c:pt>
                <c:pt idx="5">
                  <c:v>0.18823529411764706</c:v>
                </c:pt>
                <c:pt idx="6">
                  <c:v>0.14893617021276595</c:v>
                </c:pt>
                <c:pt idx="7">
                  <c:v>9.4710947109471089E-2</c:v>
                </c:pt>
                <c:pt idx="8">
                  <c:v>0.15389257694628847</c:v>
                </c:pt>
                <c:pt idx="9">
                  <c:v>0.26136363636363635</c:v>
                </c:pt>
                <c:pt idx="10">
                  <c:v>0.38539898132427841</c:v>
                </c:pt>
                <c:pt idx="11">
                  <c:v>0.11343283582089553</c:v>
                </c:pt>
              </c:numCache>
            </c:numRef>
          </c:val>
        </c:ser>
        <c:ser>
          <c:idx val="4"/>
          <c:order val="4"/>
          <c:tx>
            <c:strRef>
              <c:f>'Staff Group Analysis'!$G$21</c:f>
              <c:strCache>
                <c:ptCount val="1"/>
                <c:pt idx="0">
                  <c:v>Lesbian</c:v>
                </c:pt>
              </c:strCache>
            </c:strRef>
          </c:tx>
          <c:invertIfNegative val="0"/>
          <c:cat>
            <c:strRef>
              <c:f>'Staff Group Analysis'!$B$22:$B$33</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Analysis'!$G$22:$G$33</c:f>
              <c:numCache>
                <c:formatCode>0.00%</c:formatCode>
                <c:ptCount val="12"/>
                <c:pt idx="0">
                  <c:v>3.1023784901758012E-3</c:v>
                </c:pt>
                <c:pt idx="1">
                  <c:v>3.929273084479371E-3</c:v>
                </c:pt>
                <c:pt idx="2">
                  <c:v>3.1421838177533388E-3</c:v>
                </c:pt>
                <c:pt idx="3">
                  <c:v>0</c:v>
                </c:pt>
                <c:pt idx="4">
                  <c:v>1.0416666666666666E-2</c:v>
                </c:pt>
                <c:pt idx="5">
                  <c:v>0</c:v>
                </c:pt>
                <c:pt idx="6">
                  <c:v>2.8368794326241137E-3</c:v>
                </c:pt>
                <c:pt idx="7">
                  <c:v>1.2300123001230013E-3</c:v>
                </c:pt>
                <c:pt idx="8">
                  <c:v>2.4140012070006035E-3</c:v>
                </c:pt>
                <c:pt idx="9">
                  <c:v>0</c:v>
                </c:pt>
                <c:pt idx="10">
                  <c:v>0</c:v>
                </c:pt>
                <c:pt idx="11">
                  <c:v>2.9850746268656717E-3</c:v>
                </c:pt>
              </c:numCache>
            </c:numRef>
          </c:val>
        </c:ser>
        <c:ser>
          <c:idx val="5"/>
          <c:order val="5"/>
          <c:tx>
            <c:strRef>
              <c:f>'Staff Group Analysis'!$H$21</c:f>
              <c:strCache>
                <c:ptCount val="1"/>
                <c:pt idx="0">
                  <c:v>Undefined</c:v>
                </c:pt>
              </c:strCache>
            </c:strRef>
          </c:tx>
          <c:invertIfNegative val="0"/>
          <c:cat>
            <c:strRef>
              <c:f>'Staff Group Analysis'!$B$22:$B$33</c:f>
              <c:strCache>
                <c:ptCount val="12"/>
                <c:pt idx="0">
                  <c:v>Admin &amp; Clerical</c:v>
                </c:pt>
                <c:pt idx="1">
                  <c:v>Ancillary</c:v>
                </c:pt>
                <c:pt idx="2">
                  <c:v>Healthcare Assistants</c:v>
                </c:pt>
                <c:pt idx="3">
                  <c:v>Jnr Medics</c:v>
                </c:pt>
                <c:pt idx="4">
                  <c:v>Maintenance</c:v>
                </c:pt>
                <c:pt idx="5">
                  <c:v>Pharmacists</c:v>
                </c:pt>
                <c:pt idx="6">
                  <c:v>Allied Health Professionals</c:v>
                </c:pt>
                <c:pt idx="7">
                  <c:v>Technical</c:v>
                </c:pt>
                <c:pt idx="8">
                  <c:v>Qualified Nursing &amp; Midwifery</c:v>
                </c:pt>
                <c:pt idx="9">
                  <c:v>Scientists</c:v>
                </c:pt>
                <c:pt idx="10">
                  <c:v>Snr Medics</c:v>
                </c:pt>
                <c:pt idx="11">
                  <c:v>Snr Managers</c:v>
                </c:pt>
              </c:strCache>
            </c:strRef>
          </c:cat>
          <c:val>
            <c:numRef>
              <c:f>'Staff Group Analysis'!$H$22:$H$33</c:f>
              <c:numCache>
                <c:formatCode>0.00%</c:formatCode>
                <c:ptCount val="12"/>
                <c:pt idx="0">
                  <c:v>0.4172699069286453</c:v>
                </c:pt>
                <c:pt idx="1">
                  <c:v>0.51473477406679768</c:v>
                </c:pt>
                <c:pt idx="2">
                  <c:v>0.39905734485467398</c:v>
                </c:pt>
                <c:pt idx="3">
                  <c:v>3.0476190476190476E-2</c:v>
                </c:pt>
                <c:pt idx="4">
                  <c:v>0.46875</c:v>
                </c:pt>
                <c:pt idx="5">
                  <c:v>0.18823529411764706</c:v>
                </c:pt>
                <c:pt idx="6">
                  <c:v>0.33333333333333331</c:v>
                </c:pt>
                <c:pt idx="7">
                  <c:v>0.38007380073800739</c:v>
                </c:pt>
                <c:pt idx="8">
                  <c:v>0.33977066988533494</c:v>
                </c:pt>
                <c:pt idx="9">
                  <c:v>0.31818181818181818</c:v>
                </c:pt>
                <c:pt idx="10">
                  <c:v>0.57045840407470294</c:v>
                </c:pt>
                <c:pt idx="11">
                  <c:v>0.43283582089552236</c:v>
                </c:pt>
              </c:numCache>
            </c:numRef>
          </c:val>
        </c:ser>
        <c:dLbls>
          <c:showLegendKey val="0"/>
          <c:showVal val="0"/>
          <c:showCatName val="0"/>
          <c:showSerName val="0"/>
          <c:showPercent val="0"/>
          <c:showBubbleSize val="0"/>
        </c:dLbls>
        <c:gapWidth val="55"/>
        <c:overlap val="100"/>
        <c:axId val="121381632"/>
        <c:axId val="121383168"/>
      </c:barChart>
      <c:catAx>
        <c:axId val="121381632"/>
        <c:scaling>
          <c:orientation val="minMax"/>
        </c:scaling>
        <c:delete val="0"/>
        <c:axPos val="b"/>
        <c:numFmt formatCode="General" sourceLinked="1"/>
        <c:majorTickMark val="none"/>
        <c:minorTickMark val="none"/>
        <c:tickLblPos val="nextTo"/>
        <c:crossAx val="121383168"/>
        <c:crosses val="autoZero"/>
        <c:auto val="1"/>
        <c:lblAlgn val="ctr"/>
        <c:lblOffset val="100"/>
        <c:noMultiLvlLbl val="0"/>
      </c:catAx>
      <c:valAx>
        <c:axId val="121383168"/>
        <c:scaling>
          <c:orientation val="minMax"/>
        </c:scaling>
        <c:delete val="0"/>
        <c:axPos val="l"/>
        <c:majorGridlines/>
        <c:numFmt formatCode="0%" sourceLinked="1"/>
        <c:majorTickMark val="none"/>
        <c:minorTickMark val="none"/>
        <c:tickLblPos val="nextTo"/>
        <c:crossAx val="12138163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050"/>
              <a:t>Graph 4 - Nursing &amp; Midwifery Vacancy Analysis by Ethnicity</a:t>
            </a:r>
          </a:p>
        </c:rich>
      </c:tx>
      <c:overlay val="0"/>
    </c:title>
    <c:autoTitleDeleted val="0"/>
    <c:plotArea>
      <c:layout/>
      <c:barChart>
        <c:barDir val="col"/>
        <c:grouping val="clustered"/>
        <c:varyColors val="0"/>
        <c:ser>
          <c:idx val="0"/>
          <c:order val="0"/>
          <c:tx>
            <c:strRef>
              <c:f>'Nursing &amp; Midwifery'!$N$38</c:f>
              <c:strCache>
                <c:ptCount val="1"/>
                <c:pt idx="0">
                  <c:v>% Applications</c:v>
                </c:pt>
              </c:strCache>
            </c:strRef>
          </c:tx>
          <c:invertIfNegative val="0"/>
          <c:cat>
            <c:strRef>
              <c:f>'Nursing &amp; Midwifery'!$M$39:$M$41</c:f>
              <c:strCache>
                <c:ptCount val="3"/>
                <c:pt idx="0">
                  <c:v>White</c:v>
                </c:pt>
                <c:pt idx="1">
                  <c:v>BME</c:v>
                </c:pt>
                <c:pt idx="2">
                  <c:v>Undisclosed</c:v>
                </c:pt>
              </c:strCache>
            </c:strRef>
          </c:cat>
          <c:val>
            <c:numRef>
              <c:f>'Nursing &amp; Midwifery'!$N$39:$N$41</c:f>
              <c:numCache>
                <c:formatCode>0.00%</c:formatCode>
                <c:ptCount val="3"/>
                <c:pt idx="0">
                  <c:v>0.59099999999999997</c:v>
                </c:pt>
                <c:pt idx="1">
                  <c:v>0.38800000000000001</c:v>
                </c:pt>
                <c:pt idx="2">
                  <c:v>0.02</c:v>
                </c:pt>
              </c:numCache>
            </c:numRef>
          </c:val>
        </c:ser>
        <c:ser>
          <c:idx val="1"/>
          <c:order val="1"/>
          <c:tx>
            <c:strRef>
              <c:f>'Nursing &amp; Midwifery'!$O$38</c:f>
              <c:strCache>
                <c:ptCount val="1"/>
                <c:pt idx="0">
                  <c:v>% Shortlisted</c:v>
                </c:pt>
              </c:strCache>
            </c:strRef>
          </c:tx>
          <c:invertIfNegative val="0"/>
          <c:cat>
            <c:strRef>
              <c:f>'Nursing &amp; Midwifery'!$M$39:$M$41</c:f>
              <c:strCache>
                <c:ptCount val="3"/>
                <c:pt idx="0">
                  <c:v>White</c:v>
                </c:pt>
                <c:pt idx="1">
                  <c:v>BME</c:v>
                </c:pt>
                <c:pt idx="2">
                  <c:v>Undisclosed</c:v>
                </c:pt>
              </c:strCache>
            </c:strRef>
          </c:cat>
          <c:val>
            <c:numRef>
              <c:f>'Nursing &amp; Midwifery'!$O$39:$O$41</c:f>
              <c:numCache>
                <c:formatCode>0.00%</c:formatCode>
                <c:ptCount val="3"/>
                <c:pt idx="0">
                  <c:v>0.63200000000000001</c:v>
                </c:pt>
                <c:pt idx="1">
                  <c:v>0.34700000000000003</c:v>
                </c:pt>
                <c:pt idx="2">
                  <c:v>2.1999999999999999E-2</c:v>
                </c:pt>
              </c:numCache>
            </c:numRef>
          </c:val>
        </c:ser>
        <c:ser>
          <c:idx val="2"/>
          <c:order val="2"/>
          <c:tx>
            <c:strRef>
              <c:f>'Nursing &amp; Midwifery'!$P$38</c:f>
              <c:strCache>
                <c:ptCount val="1"/>
                <c:pt idx="0">
                  <c:v>% Appointed</c:v>
                </c:pt>
              </c:strCache>
            </c:strRef>
          </c:tx>
          <c:invertIfNegative val="0"/>
          <c:cat>
            <c:strRef>
              <c:f>'Nursing &amp; Midwifery'!$M$39:$M$41</c:f>
              <c:strCache>
                <c:ptCount val="3"/>
                <c:pt idx="0">
                  <c:v>White</c:v>
                </c:pt>
                <c:pt idx="1">
                  <c:v>BME</c:v>
                </c:pt>
                <c:pt idx="2">
                  <c:v>Undisclosed</c:v>
                </c:pt>
              </c:strCache>
            </c:strRef>
          </c:cat>
          <c:val>
            <c:numRef>
              <c:f>'Nursing &amp; Midwifery'!$P$39:$P$41</c:f>
              <c:numCache>
                <c:formatCode>0.00%</c:formatCode>
                <c:ptCount val="3"/>
                <c:pt idx="0">
                  <c:v>0.76</c:v>
                </c:pt>
                <c:pt idx="1">
                  <c:v>0.20900000000000002</c:v>
                </c:pt>
                <c:pt idx="2">
                  <c:v>3.3000000000000002E-2</c:v>
                </c:pt>
              </c:numCache>
            </c:numRef>
          </c:val>
        </c:ser>
        <c:dLbls>
          <c:showLegendKey val="0"/>
          <c:showVal val="0"/>
          <c:showCatName val="0"/>
          <c:showSerName val="0"/>
          <c:showPercent val="0"/>
          <c:showBubbleSize val="0"/>
        </c:dLbls>
        <c:gapWidth val="150"/>
        <c:axId val="105480576"/>
        <c:axId val="105482112"/>
      </c:barChart>
      <c:catAx>
        <c:axId val="105480576"/>
        <c:scaling>
          <c:orientation val="minMax"/>
        </c:scaling>
        <c:delete val="0"/>
        <c:axPos val="b"/>
        <c:majorTickMark val="none"/>
        <c:minorTickMark val="none"/>
        <c:tickLblPos val="nextTo"/>
        <c:crossAx val="105482112"/>
        <c:crosses val="autoZero"/>
        <c:auto val="1"/>
        <c:lblAlgn val="ctr"/>
        <c:lblOffset val="100"/>
        <c:noMultiLvlLbl val="0"/>
      </c:catAx>
      <c:valAx>
        <c:axId val="105482112"/>
        <c:scaling>
          <c:orientation val="minMax"/>
          <c:max val="1"/>
        </c:scaling>
        <c:delete val="0"/>
        <c:axPos val="l"/>
        <c:majorGridlines/>
        <c:numFmt formatCode="0.00%" sourceLinked="1"/>
        <c:majorTickMark val="none"/>
        <c:minorTickMark val="none"/>
        <c:tickLblPos val="nextTo"/>
        <c:crossAx val="105480576"/>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100"/>
              <a:t>Graph 5 - Additional Clinical Services Vacancy Analysis by Ethnicity</a:t>
            </a:r>
          </a:p>
        </c:rich>
      </c:tx>
      <c:overlay val="0"/>
    </c:title>
    <c:autoTitleDeleted val="0"/>
    <c:plotArea>
      <c:layout/>
      <c:barChart>
        <c:barDir val="col"/>
        <c:grouping val="clustered"/>
        <c:varyColors val="0"/>
        <c:ser>
          <c:idx val="0"/>
          <c:order val="0"/>
          <c:tx>
            <c:strRef>
              <c:f>'Additional Clinical Services'!$N$15</c:f>
              <c:strCache>
                <c:ptCount val="1"/>
                <c:pt idx="0">
                  <c:v>% Applications</c:v>
                </c:pt>
              </c:strCache>
            </c:strRef>
          </c:tx>
          <c:invertIfNegative val="0"/>
          <c:cat>
            <c:strRef>
              <c:f>'Additional Clinical Services'!$M$16:$M$18</c:f>
              <c:strCache>
                <c:ptCount val="3"/>
                <c:pt idx="0">
                  <c:v>White</c:v>
                </c:pt>
                <c:pt idx="1">
                  <c:v>BME</c:v>
                </c:pt>
                <c:pt idx="2">
                  <c:v>Undisclosed</c:v>
                </c:pt>
              </c:strCache>
            </c:strRef>
          </c:cat>
          <c:val>
            <c:numRef>
              <c:f>'Additional Clinical Services'!$N$16:$N$18</c:f>
              <c:numCache>
                <c:formatCode>0.00%</c:formatCode>
                <c:ptCount val="3"/>
                <c:pt idx="0">
                  <c:v>0.48200000000000004</c:v>
                </c:pt>
                <c:pt idx="1">
                  <c:v>0.49400000000000011</c:v>
                </c:pt>
                <c:pt idx="2">
                  <c:v>2.5000000000000001E-2</c:v>
                </c:pt>
              </c:numCache>
            </c:numRef>
          </c:val>
        </c:ser>
        <c:ser>
          <c:idx val="1"/>
          <c:order val="1"/>
          <c:tx>
            <c:strRef>
              <c:f>'Additional Clinical Services'!$O$15</c:f>
              <c:strCache>
                <c:ptCount val="1"/>
                <c:pt idx="0">
                  <c:v>% Shortlisted</c:v>
                </c:pt>
              </c:strCache>
            </c:strRef>
          </c:tx>
          <c:invertIfNegative val="0"/>
          <c:cat>
            <c:strRef>
              <c:f>'Additional Clinical Services'!$M$16:$M$18</c:f>
              <c:strCache>
                <c:ptCount val="3"/>
                <c:pt idx="0">
                  <c:v>White</c:v>
                </c:pt>
                <c:pt idx="1">
                  <c:v>BME</c:v>
                </c:pt>
                <c:pt idx="2">
                  <c:v>Undisclosed</c:v>
                </c:pt>
              </c:strCache>
            </c:strRef>
          </c:cat>
          <c:val>
            <c:numRef>
              <c:f>'Additional Clinical Services'!$O$16:$O$18</c:f>
              <c:numCache>
                <c:formatCode>0.00%</c:formatCode>
                <c:ptCount val="3"/>
                <c:pt idx="0">
                  <c:v>0.51400000000000001</c:v>
                </c:pt>
                <c:pt idx="1">
                  <c:v>0.46400000000000008</c:v>
                </c:pt>
                <c:pt idx="2">
                  <c:v>2.1999999999999999E-2</c:v>
                </c:pt>
              </c:numCache>
            </c:numRef>
          </c:val>
        </c:ser>
        <c:ser>
          <c:idx val="2"/>
          <c:order val="2"/>
          <c:tx>
            <c:strRef>
              <c:f>'Additional Clinical Services'!$P$15</c:f>
              <c:strCache>
                <c:ptCount val="1"/>
                <c:pt idx="0">
                  <c:v>% Appointed</c:v>
                </c:pt>
              </c:strCache>
            </c:strRef>
          </c:tx>
          <c:invertIfNegative val="0"/>
          <c:cat>
            <c:strRef>
              <c:f>'Additional Clinical Services'!$M$16:$M$18</c:f>
              <c:strCache>
                <c:ptCount val="3"/>
                <c:pt idx="0">
                  <c:v>White</c:v>
                </c:pt>
                <c:pt idx="1">
                  <c:v>BME</c:v>
                </c:pt>
                <c:pt idx="2">
                  <c:v>Undisclosed</c:v>
                </c:pt>
              </c:strCache>
            </c:strRef>
          </c:cat>
          <c:val>
            <c:numRef>
              <c:f>'Additional Clinical Services'!$P$16:$P$18</c:f>
              <c:numCache>
                <c:formatCode>0.00%</c:formatCode>
                <c:ptCount val="3"/>
                <c:pt idx="0">
                  <c:v>0.58200000000000007</c:v>
                </c:pt>
                <c:pt idx="1">
                  <c:v>0.38900000000000007</c:v>
                </c:pt>
                <c:pt idx="2">
                  <c:v>3.1E-2</c:v>
                </c:pt>
              </c:numCache>
            </c:numRef>
          </c:val>
        </c:ser>
        <c:dLbls>
          <c:showLegendKey val="0"/>
          <c:showVal val="0"/>
          <c:showCatName val="0"/>
          <c:showSerName val="0"/>
          <c:showPercent val="0"/>
          <c:showBubbleSize val="0"/>
        </c:dLbls>
        <c:gapWidth val="150"/>
        <c:axId val="103358848"/>
        <c:axId val="103360384"/>
      </c:barChart>
      <c:catAx>
        <c:axId val="103358848"/>
        <c:scaling>
          <c:orientation val="minMax"/>
        </c:scaling>
        <c:delete val="0"/>
        <c:axPos val="b"/>
        <c:majorTickMark val="none"/>
        <c:minorTickMark val="none"/>
        <c:tickLblPos val="nextTo"/>
        <c:crossAx val="103360384"/>
        <c:crosses val="autoZero"/>
        <c:auto val="1"/>
        <c:lblAlgn val="ctr"/>
        <c:lblOffset val="100"/>
        <c:noMultiLvlLbl val="0"/>
      </c:catAx>
      <c:valAx>
        <c:axId val="103360384"/>
        <c:scaling>
          <c:orientation val="minMax"/>
          <c:max val="1"/>
        </c:scaling>
        <c:delete val="0"/>
        <c:axPos val="l"/>
        <c:majorGridlines/>
        <c:numFmt formatCode="0.00%" sourceLinked="1"/>
        <c:majorTickMark val="none"/>
        <c:minorTickMark val="none"/>
        <c:tickLblPos val="nextTo"/>
        <c:crossAx val="103358848"/>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100"/>
              <a:t>Graph 6 - Medical Vacancy Analysis by Ethnicity</a:t>
            </a:r>
          </a:p>
        </c:rich>
      </c:tx>
      <c:overlay val="0"/>
    </c:title>
    <c:autoTitleDeleted val="0"/>
    <c:plotArea>
      <c:layout/>
      <c:barChart>
        <c:barDir val="col"/>
        <c:grouping val="clustered"/>
        <c:varyColors val="0"/>
        <c:ser>
          <c:idx val="0"/>
          <c:order val="0"/>
          <c:tx>
            <c:strRef>
              <c:f>Medical!$M$13</c:f>
              <c:strCache>
                <c:ptCount val="1"/>
                <c:pt idx="0">
                  <c:v>% Applications</c:v>
                </c:pt>
              </c:strCache>
            </c:strRef>
          </c:tx>
          <c:invertIfNegative val="0"/>
          <c:cat>
            <c:strRef>
              <c:f>Medical!$L$14:$L$16</c:f>
              <c:strCache>
                <c:ptCount val="3"/>
                <c:pt idx="0">
                  <c:v>White</c:v>
                </c:pt>
                <c:pt idx="1">
                  <c:v>BME</c:v>
                </c:pt>
                <c:pt idx="2">
                  <c:v>Not Disclosed</c:v>
                </c:pt>
              </c:strCache>
            </c:strRef>
          </c:cat>
          <c:val>
            <c:numRef>
              <c:f>Medical!$M$14:$M$16</c:f>
              <c:numCache>
                <c:formatCode>0.00%</c:formatCode>
                <c:ptCount val="3"/>
                <c:pt idx="0">
                  <c:v>0.18</c:v>
                </c:pt>
                <c:pt idx="1">
                  <c:v>0.79100000000000004</c:v>
                </c:pt>
                <c:pt idx="2">
                  <c:v>2.9000000000000001E-2</c:v>
                </c:pt>
              </c:numCache>
            </c:numRef>
          </c:val>
        </c:ser>
        <c:ser>
          <c:idx val="1"/>
          <c:order val="1"/>
          <c:tx>
            <c:strRef>
              <c:f>Medical!$N$13</c:f>
              <c:strCache>
                <c:ptCount val="1"/>
                <c:pt idx="0">
                  <c:v>% Shortlisted</c:v>
                </c:pt>
              </c:strCache>
            </c:strRef>
          </c:tx>
          <c:invertIfNegative val="0"/>
          <c:cat>
            <c:strRef>
              <c:f>Medical!$L$14:$L$16</c:f>
              <c:strCache>
                <c:ptCount val="3"/>
                <c:pt idx="0">
                  <c:v>White</c:v>
                </c:pt>
                <c:pt idx="1">
                  <c:v>BME</c:v>
                </c:pt>
                <c:pt idx="2">
                  <c:v>Not Disclosed</c:v>
                </c:pt>
              </c:strCache>
            </c:strRef>
          </c:cat>
          <c:val>
            <c:numRef>
              <c:f>Medical!$N$14:$N$16</c:f>
              <c:numCache>
                <c:formatCode>0.00%</c:formatCode>
                <c:ptCount val="3"/>
                <c:pt idx="0">
                  <c:v>0.186</c:v>
                </c:pt>
                <c:pt idx="1">
                  <c:v>0.77700000000000014</c:v>
                </c:pt>
                <c:pt idx="2">
                  <c:v>3.7999999999999999E-2</c:v>
                </c:pt>
              </c:numCache>
            </c:numRef>
          </c:val>
        </c:ser>
        <c:ser>
          <c:idx val="2"/>
          <c:order val="2"/>
          <c:tx>
            <c:strRef>
              <c:f>Medical!$O$13</c:f>
              <c:strCache>
                <c:ptCount val="1"/>
                <c:pt idx="0">
                  <c:v>% Appointed</c:v>
                </c:pt>
              </c:strCache>
            </c:strRef>
          </c:tx>
          <c:invertIfNegative val="0"/>
          <c:cat>
            <c:strRef>
              <c:f>Medical!$L$14:$L$16</c:f>
              <c:strCache>
                <c:ptCount val="3"/>
                <c:pt idx="0">
                  <c:v>White</c:v>
                </c:pt>
                <c:pt idx="1">
                  <c:v>BME</c:v>
                </c:pt>
                <c:pt idx="2">
                  <c:v>Not Disclosed</c:v>
                </c:pt>
              </c:strCache>
            </c:strRef>
          </c:cat>
          <c:val>
            <c:numRef>
              <c:f>Medical!$O$14:$O$16</c:f>
              <c:numCache>
                <c:formatCode>0.00%</c:formatCode>
                <c:ptCount val="3"/>
                <c:pt idx="0">
                  <c:v>0.27400000000000002</c:v>
                </c:pt>
                <c:pt idx="1">
                  <c:v>0.68600000000000005</c:v>
                </c:pt>
                <c:pt idx="2">
                  <c:v>4.1000000000000002E-2</c:v>
                </c:pt>
              </c:numCache>
            </c:numRef>
          </c:val>
        </c:ser>
        <c:dLbls>
          <c:showLegendKey val="0"/>
          <c:showVal val="0"/>
          <c:showCatName val="0"/>
          <c:showSerName val="0"/>
          <c:showPercent val="0"/>
          <c:showBubbleSize val="0"/>
        </c:dLbls>
        <c:gapWidth val="150"/>
        <c:axId val="105618816"/>
        <c:axId val="105620608"/>
      </c:barChart>
      <c:catAx>
        <c:axId val="105618816"/>
        <c:scaling>
          <c:orientation val="minMax"/>
        </c:scaling>
        <c:delete val="0"/>
        <c:axPos val="b"/>
        <c:majorTickMark val="none"/>
        <c:minorTickMark val="none"/>
        <c:tickLblPos val="nextTo"/>
        <c:crossAx val="105620608"/>
        <c:crosses val="autoZero"/>
        <c:auto val="1"/>
        <c:lblAlgn val="ctr"/>
        <c:lblOffset val="100"/>
        <c:noMultiLvlLbl val="0"/>
      </c:catAx>
      <c:valAx>
        <c:axId val="105620608"/>
        <c:scaling>
          <c:orientation val="minMax"/>
          <c:max val="1"/>
        </c:scaling>
        <c:delete val="0"/>
        <c:axPos val="l"/>
        <c:majorGridlines/>
        <c:numFmt formatCode="0.00%" sourceLinked="1"/>
        <c:majorTickMark val="none"/>
        <c:minorTickMark val="none"/>
        <c:tickLblPos val="nextTo"/>
        <c:crossAx val="105618816"/>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100"/>
              <a:t>Graph 7 - Allied Health Professionals Vacancy Analysis by Ethnicity</a:t>
            </a:r>
          </a:p>
        </c:rich>
      </c:tx>
      <c:overlay val="0"/>
    </c:title>
    <c:autoTitleDeleted val="0"/>
    <c:plotArea>
      <c:layout/>
      <c:barChart>
        <c:barDir val="col"/>
        <c:grouping val="clustered"/>
        <c:varyColors val="0"/>
        <c:ser>
          <c:idx val="0"/>
          <c:order val="0"/>
          <c:tx>
            <c:strRef>
              <c:f>AHPs!$M$13</c:f>
              <c:strCache>
                <c:ptCount val="1"/>
                <c:pt idx="0">
                  <c:v>% Applications</c:v>
                </c:pt>
              </c:strCache>
            </c:strRef>
          </c:tx>
          <c:invertIfNegative val="0"/>
          <c:cat>
            <c:strRef>
              <c:f>AHPs!$L$14:$L$16</c:f>
              <c:strCache>
                <c:ptCount val="3"/>
                <c:pt idx="0">
                  <c:v>White</c:v>
                </c:pt>
                <c:pt idx="1">
                  <c:v>BME</c:v>
                </c:pt>
                <c:pt idx="2">
                  <c:v>Not Disclosed</c:v>
                </c:pt>
              </c:strCache>
            </c:strRef>
          </c:cat>
          <c:val>
            <c:numRef>
              <c:f>AHPs!$M$14:$M$16</c:f>
              <c:numCache>
                <c:formatCode>0.00%</c:formatCode>
                <c:ptCount val="3"/>
                <c:pt idx="0">
                  <c:v>0.58199999999999996</c:v>
                </c:pt>
                <c:pt idx="1">
                  <c:v>0.39500000000000007</c:v>
                </c:pt>
                <c:pt idx="2">
                  <c:v>2.5000000000000001E-2</c:v>
                </c:pt>
              </c:numCache>
            </c:numRef>
          </c:val>
        </c:ser>
        <c:ser>
          <c:idx val="1"/>
          <c:order val="1"/>
          <c:tx>
            <c:strRef>
              <c:f>AHPs!$N$13</c:f>
              <c:strCache>
                <c:ptCount val="1"/>
                <c:pt idx="0">
                  <c:v>% Shortlisted</c:v>
                </c:pt>
              </c:strCache>
            </c:strRef>
          </c:tx>
          <c:invertIfNegative val="0"/>
          <c:cat>
            <c:strRef>
              <c:f>AHPs!$L$14:$L$16</c:f>
              <c:strCache>
                <c:ptCount val="3"/>
                <c:pt idx="0">
                  <c:v>White</c:v>
                </c:pt>
                <c:pt idx="1">
                  <c:v>BME</c:v>
                </c:pt>
                <c:pt idx="2">
                  <c:v>Not Disclosed</c:v>
                </c:pt>
              </c:strCache>
            </c:strRef>
          </c:cat>
          <c:val>
            <c:numRef>
              <c:f>AHPs!$N$14:$N$16</c:f>
              <c:numCache>
                <c:formatCode>0.00%</c:formatCode>
                <c:ptCount val="3"/>
                <c:pt idx="0">
                  <c:v>0.64600000000000013</c:v>
                </c:pt>
                <c:pt idx="1">
                  <c:v>0.33100000000000002</c:v>
                </c:pt>
                <c:pt idx="2">
                  <c:v>2.5999999999999999E-2</c:v>
                </c:pt>
              </c:numCache>
            </c:numRef>
          </c:val>
        </c:ser>
        <c:ser>
          <c:idx val="2"/>
          <c:order val="2"/>
          <c:tx>
            <c:strRef>
              <c:f>AHPs!$O$13</c:f>
              <c:strCache>
                <c:ptCount val="1"/>
                <c:pt idx="0">
                  <c:v>% Appointed</c:v>
                </c:pt>
              </c:strCache>
            </c:strRef>
          </c:tx>
          <c:invertIfNegative val="0"/>
          <c:cat>
            <c:strRef>
              <c:f>AHPs!$L$14:$L$16</c:f>
              <c:strCache>
                <c:ptCount val="3"/>
                <c:pt idx="0">
                  <c:v>White</c:v>
                </c:pt>
                <c:pt idx="1">
                  <c:v>BME</c:v>
                </c:pt>
                <c:pt idx="2">
                  <c:v>Not Disclosed</c:v>
                </c:pt>
              </c:strCache>
            </c:strRef>
          </c:cat>
          <c:val>
            <c:numRef>
              <c:f>AHPs!$O$14:$O$16</c:f>
              <c:numCache>
                <c:formatCode>0.00%</c:formatCode>
                <c:ptCount val="3"/>
                <c:pt idx="0">
                  <c:v>0.76</c:v>
                </c:pt>
                <c:pt idx="1">
                  <c:v>0.224</c:v>
                </c:pt>
                <c:pt idx="2">
                  <c:v>1.4E-2</c:v>
                </c:pt>
              </c:numCache>
            </c:numRef>
          </c:val>
        </c:ser>
        <c:dLbls>
          <c:showLegendKey val="0"/>
          <c:showVal val="0"/>
          <c:showCatName val="0"/>
          <c:showSerName val="0"/>
          <c:showPercent val="0"/>
          <c:showBubbleSize val="0"/>
        </c:dLbls>
        <c:gapWidth val="150"/>
        <c:axId val="105631104"/>
        <c:axId val="105645184"/>
      </c:barChart>
      <c:catAx>
        <c:axId val="105631104"/>
        <c:scaling>
          <c:orientation val="minMax"/>
        </c:scaling>
        <c:delete val="0"/>
        <c:axPos val="b"/>
        <c:majorTickMark val="none"/>
        <c:minorTickMark val="none"/>
        <c:tickLblPos val="nextTo"/>
        <c:crossAx val="105645184"/>
        <c:crosses val="autoZero"/>
        <c:auto val="1"/>
        <c:lblAlgn val="ctr"/>
        <c:lblOffset val="100"/>
        <c:noMultiLvlLbl val="0"/>
      </c:catAx>
      <c:valAx>
        <c:axId val="105645184"/>
        <c:scaling>
          <c:orientation val="minMax"/>
          <c:max val="1"/>
        </c:scaling>
        <c:delete val="0"/>
        <c:axPos val="l"/>
        <c:majorGridlines/>
        <c:numFmt formatCode="0.00%" sourceLinked="1"/>
        <c:majorTickMark val="none"/>
        <c:minorTickMark val="none"/>
        <c:tickLblPos val="nextTo"/>
        <c:crossAx val="105631104"/>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100"/>
              <a:t>Graph 8 - Additional Professional Scientific and Technical Vacancy Analysis by Ethnicity</a:t>
            </a:r>
          </a:p>
        </c:rich>
      </c:tx>
      <c:overlay val="0"/>
    </c:title>
    <c:autoTitleDeleted val="0"/>
    <c:plotArea>
      <c:layout/>
      <c:barChart>
        <c:barDir val="col"/>
        <c:grouping val="clustered"/>
        <c:varyColors val="0"/>
        <c:ser>
          <c:idx val="0"/>
          <c:order val="0"/>
          <c:tx>
            <c:strRef>
              <c:f>'Additional Professional S&amp;T'!$M$13</c:f>
              <c:strCache>
                <c:ptCount val="1"/>
                <c:pt idx="0">
                  <c:v>% Applications</c:v>
                </c:pt>
              </c:strCache>
            </c:strRef>
          </c:tx>
          <c:invertIfNegative val="0"/>
          <c:cat>
            <c:strRef>
              <c:f>'Additional Professional S&amp;T'!$L$14:$L$16</c:f>
              <c:strCache>
                <c:ptCount val="3"/>
                <c:pt idx="0">
                  <c:v>White</c:v>
                </c:pt>
                <c:pt idx="1">
                  <c:v>BME</c:v>
                </c:pt>
                <c:pt idx="2">
                  <c:v>Not Disclosed</c:v>
                </c:pt>
              </c:strCache>
            </c:strRef>
          </c:cat>
          <c:val>
            <c:numRef>
              <c:f>'Additional Professional S&amp;T'!$M$14:$M$16</c:f>
              <c:numCache>
                <c:formatCode>0.00%</c:formatCode>
                <c:ptCount val="3"/>
                <c:pt idx="0">
                  <c:v>0.48000000000000004</c:v>
                </c:pt>
                <c:pt idx="1">
                  <c:v>0.48600000000000015</c:v>
                </c:pt>
                <c:pt idx="2">
                  <c:v>3.3000000000000002E-2</c:v>
                </c:pt>
              </c:numCache>
            </c:numRef>
          </c:val>
        </c:ser>
        <c:ser>
          <c:idx val="1"/>
          <c:order val="1"/>
          <c:tx>
            <c:strRef>
              <c:f>'Additional Professional S&amp;T'!$N$13</c:f>
              <c:strCache>
                <c:ptCount val="1"/>
                <c:pt idx="0">
                  <c:v>% Shortlisted</c:v>
                </c:pt>
              </c:strCache>
            </c:strRef>
          </c:tx>
          <c:invertIfNegative val="0"/>
          <c:cat>
            <c:strRef>
              <c:f>'Additional Professional S&amp;T'!$L$14:$L$16</c:f>
              <c:strCache>
                <c:ptCount val="3"/>
                <c:pt idx="0">
                  <c:v>White</c:v>
                </c:pt>
                <c:pt idx="1">
                  <c:v>BME</c:v>
                </c:pt>
                <c:pt idx="2">
                  <c:v>Not Disclosed</c:v>
                </c:pt>
              </c:strCache>
            </c:strRef>
          </c:cat>
          <c:val>
            <c:numRef>
              <c:f>'Additional Professional S&amp;T'!$N$14:$N$16</c:f>
              <c:numCache>
                <c:formatCode>0.00%</c:formatCode>
                <c:ptCount val="3"/>
                <c:pt idx="0">
                  <c:v>0.56100000000000005</c:v>
                </c:pt>
                <c:pt idx="1">
                  <c:v>0.39700000000000008</c:v>
                </c:pt>
                <c:pt idx="2">
                  <c:v>4.2000000000000003E-2</c:v>
                </c:pt>
              </c:numCache>
            </c:numRef>
          </c:val>
        </c:ser>
        <c:ser>
          <c:idx val="2"/>
          <c:order val="2"/>
          <c:tx>
            <c:strRef>
              <c:f>'Additional Professional S&amp;T'!$O$13</c:f>
              <c:strCache>
                <c:ptCount val="1"/>
                <c:pt idx="0">
                  <c:v>% Appointed</c:v>
                </c:pt>
              </c:strCache>
            </c:strRef>
          </c:tx>
          <c:invertIfNegative val="0"/>
          <c:cat>
            <c:strRef>
              <c:f>'Additional Professional S&amp;T'!$L$14:$L$16</c:f>
              <c:strCache>
                <c:ptCount val="3"/>
                <c:pt idx="0">
                  <c:v>White</c:v>
                </c:pt>
                <c:pt idx="1">
                  <c:v>BME</c:v>
                </c:pt>
                <c:pt idx="2">
                  <c:v>Not Disclosed</c:v>
                </c:pt>
              </c:strCache>
            </c:strRef>
          </c:cat>
          <c:val>
            <c:numRef>
              <c:f>'Additional Professional S&amp;T'!$O$14:$O$16</c:f>
              <c:numCache>
                <c:formatCode>0.00%</c:formatCode>
                <c:ptCount val="3"/>
                <c:pt idx="0">
                  <c:v>0.6070000000000001</c:v>
                </c:pt>
                <c:pt idx="1">
                  <c:v>0.34600000000000009</c:v>
                </c:pt>
                <c:pt idx="2">
                  <c:v>4.4999999999999998E-2</c:v>
                </c:pt>
              </c:numCache>
            </c:numRef>
          </c:val>
        </c:ser>
        <c:dLbls>
          <c:showLegendKey val="0"/>
          <c:showVal val="0"/>
          <c:showCatName val="0"/>
          <c:showSerName val="0"/>
          <c:showPercent val="0"/>
          <c:showBubbleSize val="0"/>
        </c:dLbls>
        <c:gapWidth val="150"/>
        <c:axId val="105669760"/>
        <c:axId val="105671296"/>
      </c:barChart>
      <c:catAx>
        <c:axId val="105669760"/>
        <c:scaling>
          <c:orientation val="minMax"/>
        </c:scaling>
        <c:delete val="0"/>
        <c:axPos val="b"/>
        <c:majorTickMark val="none"/>
        <c:minorTickMark val="none"/>
        <c:tickLblPos val="nextTo"/>
        <c:crossAx val="105671296"/>
        <c:crosses val="autoZero"/>
        <c:auto val="1"/>
        <c:lblAlgn val="ctr"/>
        <c:lblOffset val="100"/>
        <c:noMultiLvlLbl val="0"/>
      </c:catAx>
      <c:valAx>
        <c:axId val="105671296"/>
        <c:scaling>
          <c:orientation val="minMax"/>
          <c:max val="1"/>
        </c:scaling>
        <c:delete val="0"/>
        <c:axPos val="l"/>
        <c:majorGridlines/>
        <c:numFmt formatCode="0.00%" sourceLinked="1"/>
        <c:majorTickMark val="none"/>
        <c:minorTickMark val="none"/>
        <c:tickLblPos val="nextTo"/>
        <c:crossAx val="105669760"/>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100"/>
              <a:t>Graph 9 - Healthcare Scientists Vacancy Analysis by Ethnicity</a:t>
            </a:r>
          </a:p>
        </c:rich>
      </c:tx>
      <c:overlay val="0"/>
    </c:title>
    <c:autoTitleDeleted val="0"/>
    <c:plotArea>
      <c:layout/>
      <c:barChart>
        <c:barDir val="col"/>
        <c:grouping val="clustered"/>
        <c:varyColors val="0"/>
        <c:ser>
          <c:idx val="0"/>
          <c:order val="0"/>
          <c:tx>
            <c:strRef>
              <c:f>HCS!$M$13</c:f>
              <c:strCache>
                <c:ptCount val="1"/>
                <c:pt idx="0">
                  <c:v>% Applications</c:v>
                </c:pt>
              </c:strCache>
            </c:strRef>
          </c:tx>
          <c:invertIfNegative val="0"/>
          <c:cat>
            <c:strRef>
              <c:f>HCS!$L$14:$L$16</c:f>
              <c:strCache>
                <c:ptCount val="3"/>
                <c:pt idx="0">
                  <c:v>White</c:v>
                </c:pt>
                <c:pt idx="1">
                  <c:v>BME</c:v>
                </c:pt>
                <c:pt idx="2">
                  <c:v>Not Disclosed</c:v>
                </c:pt>
              </c:strCache>
            </c:strRef>
          </c:cat>
          <c:val>
            <c:numRef>
              <c:f>HCS!$M$14:$M$16</c:f>
              <c:numCache>
                <c:formatCode>0.00%</c:formatCode>
                <c:ptCount val="3"/>
                <c:pt idx="0">
                  <c:v>0.254</c:v>
                </c:pt>
                <c:pt idx="1">
                  <c:v>0.67900000000000005</c:v>
                </c:pt>
                <c:pt idx="2">
                  <c:v>6.7000000000000004E-2</c:v>
                </c:pt>
              </c:numCache>
            </c:numRef>
          </c:val>
        </c:ser>
        <c:ser>
          <c:idx val="1"/>
          <c:order val="1"/>
          <c:tx>
            <c:strRef>
              <c:f>HCS!$N$13</c:f>
              <c:strCache>
                <c:ptCount val="1"/>
                <c:pt idx="0">
                  <c:v>% Shortlisted</c:v>
                </c:pt>
              </c:strCache>
            </c:strRef>
          </c:tx>
          <c:invertIfNegative val="0"/>
          <c:cat>
            <c:strRef>
              <c:f>HCS!$L$14:$L$16</c:f>
              <c:strCache>
                <c:ptCount val="3"/>
                <c:pt idx="0">
                  <c:v>White</c:v>
                </c:pt>
                <c:pt idx="1">
                  <c:v>BME</c:v>
                </c:pt>
                <c:pt idx="2">
                  <c:v>Not Disclosed</c:v>
                </c:pt>
              </c:strCache>
            </c:strRef>
          </c:cat>
          <c:val>
            <c:numRef>
              <c:f>HCS!$N$14:$N$16</c:f>
              <c:numCache>
                <c:formatCode>0.00%</c:formatCode>
                <c:ptCount val="3"/>
                <c:pt idx="0">
                  <c:v>0.32500000000000001</c:v>
                </c:pt>
                <c:pt idx="1">
                  <c:v>0.59899999999999998</c:v>
                </c:pt>
                <c:pt idx="2">
                  <c:v>7.5999999999999998E-2</c:v>
                </c:pt>
              </c:numCache>
            </c:numRef>
          </c:val>
        </c:ser>
        <c:ser>
          <c:idx val="2"/>
          <c:order val="2"/>
          <c:tx>
            <c:strRef>
              <c:f>HCS!$O$13</c:f>
              <c:strCache>
                <c:ptCount val="1"/>
                <c:pt idx="0">
                  <c:v>% Appointed</c:v>
                </c:pt>
              </c:strCache>
            </c:strRef>
          </c:tx>
          <c:invertIfNegative val="0"/>
          <c:cat>
            <c:strRef>
              <c:f>HCS!$L$14:$L$16</c:f>
              <c:strCache>
                <c:ptCount val="3"/>
                <c:pt idx="0">
                  <c:v>White</c:v>
                </c:pt>
                <c:pt idx="1">
                  <c:v>BME</c:v>
                </c:pt>
                <c:pt idx="2">
                  <c:v>Not Disclosed</c:v>
                </c:pt>
              </c:strCache>
            </c:strRef>
          </c:cat>
          <c:val>
            <c:numRef>
              <c:f>HCS!$O$14:$O$16</c:f>
              <c:numCache>
                <c:formatCode>0.00%</c:formatCode>
                <c:ptCount val="3"/>
                <c:pt idx="0">
                  <c:v>0.48799999999999999</c:v>
                </c:pt>
                <c:pt idx="1">
                  <c:v>0.46300000000000008</c:v>
                </c:pt>
                <c:pt idx="2">
                  <c:v>4.9000000000000002E-2</c:v>
                </c:pt>
              </c:numCache>
            </c:numRef>
          </c:val>
        </c:ser>
        <c:dLbls>
          <c:showLegendKey val="0"/>
          <c:showVal val="0"/>
          <c:showCatName val="0"/>
          <c:showSerName val="0"/>
          <c:showPercent val="0"/>
          <c:showBubbleSize val="0"/>
        </c:dLbls>
        <c:gapWidth val="150"/>
        <c:axId val="105705856"/>
        <c:axId val="105707392"/>
      </c:barChart>
      <c:catAx>
        <c:axId val="105705856"/>
        <c:scaling>
          <c:orientation val="minMax"/>
        </c:scaling>
        <c:delete val="0"/>
        <c:axPos val="b"/>
        <c:majorTickMark val="none"/>
        <c:minorTickMark val="none"/>
        <c:tickLblPos val="nextTo"/>
        <c:crossAx val="105707392"/>
        <c:crosses val="autoZero"/>
        <c:auto val="1"/>
        <c:lblAlgn val="ctr"/>
        <c:lblOffset val="100"/>
        <c:noMultiLvlLbl val="0"/>
      </c:catAx>
      <c:valAx>
        <c:axId val="105707392"/>
        <c:scaling>
          <c:orientation val="minMax"/>
          <c:max val="1"/>
        </c:scaling>
        <c:delete val="0"/>
        <c:axPos val="l"/>
        <c:majorGridlines/>
        <c:numFmt formatCode="0.00%" sourceLinked="1"/>
        <c:majorTickMark val="none"/>
        <c:minorTickMark val="none"/>
        <c:tickLblPos val="nextTo"/>
        <c:crossAx val="10570585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8C789-2515-447D-9589-CC1C901E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4547</Words>
  <Characters>25923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30410</CharactersWithSpaces>
  <SharedDoc>false</SharedDoc>
  <HLinks>
    <vt:vector size="36" baseType="variant">
      <vt:variant>
        <vt:i4>5570574</vt:i4>
      </vt:variant>
      <vt:variant>
        <vt:i4>15</vt:i4>
      </vt:variant>
      <vt:variant>
        <vt:i4>0</vt:i4>
      </vt:variant>
      <vt:variant>
        <vt:i4>5</vt:i4>
      </vt:variant>
      <vt:variant>
        <vt:lpwstr>http://www.nhsemployers.org/Aboutus/Publications/workforce-bulletin/Pages/Workforce-bulletin.aspx</vt:lpwstr>
      </vt:variant>
      <vt:variant>
        <vt:lpwstr/>
      </vt:variant>
      <vt:variant>
        <vt:i4>8257582</vt:i4>
      </vt:variant>
      <vt:variant>
        <vt:i4>12</vt:i4>
      </vt:variant>
      <vt:variant>
        <vt:i4>0</vt:i4>
      </vt:variant>
      <vt:variant>
        <vt:i4>5</vt:i4>
      </vt:variant>
      <vt:variant>
        <vt:lpwstr>http://www.nhsemployers.org/HealthyWorkplaces/Pages/Improvingworkinglives.aspx</vt:lpwstr>
      </vt:variant>
      <vt:variant>
        <vt:lpwstr/>
      </vt:variant>
      <vt:variant>
        <vt:i4>1245187</vt:i4>
      </vt:variant>
      <vt:variant>
        <vt:i4>9</vt:i4>
      </vt:variant>
      <vt:variant>
        <vt:i4>0</vt:i4>
      </vt:variant>
      <vt:variant>
        <vt:i4>5</vt:i4>
      </vt:variant>
      <vt:variant>
        <vt:lpwstr>http://www.nhsemployers.org/EmploymentPolicyAndPractice/staff-engagement/Pages/Staff-Engagement-And-Involvement.aspx</vt:lpwstr>
      </vt:variant>
      <vt:variant>
        <vt:lpwstr/>
      </vt:variant>
      <vt:variant>
        <vt:i4>6291510</vt:i4>
      </vt:variant>
      <vt:variant>
        <vt:i4>6</vt:i4>
      </vt:variant>
      <vt:variant>
        <vt:i4>0</vt:i4>
      </vt:variant>
      <vt:variant>
        <vt:i4>5</vt:i4>
      </vt:variant>
      <vt:variant>
        <vt:lpwstr>http://www.nhsemployers.org/EmploymentPolicyAndPractice/EqualityAndDiversity/EqualityandDiversityPartners/Pages/Equality-and-diversity-lead-sites.aspx</vt:lpwstr>
      </vt:variant>
      <vt:variant>
        <vt:lpwstr/>
      </vt:variant>
      <vt:variant>
        <vt:i4>6684793</vt:i4>
      </vt:variant>
      <vt:variant>
        <vt:i4>3</vt:i4>
      </vt:variant>
      <vt:variant>
        <vt:i4>0</vt:i4>
      </vt:variant>
      <vt:variant>
        <vt:i4>5</vt:i4>
      </vt:variant>
      <vt:variant>
        <vt:lpwstr>http://www.theworkfoundation.com/research/publications/publicationdetail.aspx?oItemId=178&amp;parentPageID=102&amp;PubType=</vt:lpwstr>
      </vt:variant>
      <vt:variant>
        <vt:lpwstr/>
      </vt:variant>
      <vt:variant>
        <vt:i4>1048610</vt:i4>
      </vt:variant>
      <vt:variant>
        <vt:i4>0</vt:i4>
      </vt:variant>
      <vt:variant>
        <vt:i4>0</vt:i4>
      </vt:variant>
      <vt:variant>
        <vt:i4>5</vt:i4>
      </vt:variant>
      <vt:variant>
        <vt:lpwstr>http://www.cipd.co.uk/Bookstore/_catalogue/DiversityAndEquality/9781843982234.htm?IsSrchRes=1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Heart of England Foundation Trust</cp:lastModifiedBy>
  <cp:revision>4</cp:revision>
  <cp:lastPrinted>2015-11-26T14:07:00Z</cp:lastPrinted>
  <dcterms:created xsi:type="dcterms:W3CDTF">2015-12-29T16:33:00Z</dcterms:created>
  <dcterms:modified xsi:type="dcterms:W3CDTF">2016-02-02T13:35:00Z</dcterms:modified>
</cp:coreProperties>
</file>