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26"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8"/>
        <w:gridCol w:w="4440"/>
      </w:tblGrid>
      <w:tr w:rsidR="00A77349" w:rsidRPr="000E56C7">
        <w:tc>
          <w:tcPr>
            <w:tcW w:w="948" w:type="dxa"/>
          </w:tcPr>
          <w:p w:rsidR="00A77349" w:rsidRPr="000E56C7" w:rsidRDefault="00A77349" w:rsidP="000E56C7">
            <w:pPr>
              <w:pStyle w:val="HeaderFooterTitles"/>
              <w:jc w:val="both"/>
              <w:rPr>
                <w:caps w:val="0"/>
              </w:rPr>
            </w:pPr>
            <w:r w:rsidRPr="000E56C7">
              <w:rPr>
                <w:caps w:val="0"/>
              </w:rPr>
              <w:t>To</w:t>
            </w:r>
          </w:p>
        </w:tc>
        <w:tc>
          <w:tcPr>
            <w:tcW w:w="4440" w:type="dxa"/>
          </w:tcPr>
          <w:p w:rsidR="00A77349" w:rsidRPr="000E56C7" w:rsidRDefault="00EB5BE8" w:rsidP="00EB5BE8">
            <w:pPr>
              <w:pStyle w:val="BodyText"/>
              <w:rPr>
                <w:i/>
              </w:rPr>
            </w:pPr>
            <w:r>
              <w:rPr>
                <w:i/>
              </w:rPr>
              <w:t>Safety Committee</w:t>
            </w:r>
          </w:p>
        </w:tc>
      </w:tr>
      <w:tr w:rsidR="00A77349" w:rsidRPr="000E56C7">
        <w:tc>
          <w:tcPr>
            <w:tcW w:w="948" w:type="dxa"/>
          </w:tcPr>
          <w:p w:rsidR="00A77349" w:rsidRPr="000E56C7" w:rsidRDefault="00A77349" w:rsidP="000E56C7">
            <w:pPr>
              <w:pStyle w:val="HeaderFooterTitles"/>
              <w:jc w:val="both"/>
              <w:rPr>
                <w:caps w:val="0"/>
              </w:rPr>
            </w:pPr>
            <w:r w:rsidRPr="000E56C7">
              <w:rPr>
                <w:caps w:val="0"/>
              </w:rPr>
              <w:t>From</w:t>
            </w:r>
          </w:p>
        </w:tc>
        <w:tc>
          <w:tcPr>
            <w:tcW w:w="4440" w:type="dxa"/>
          </w:tcPr>
          <w:p w:rsidR="00A77349" w:rsidRPr="000E56C7" w:rsidRDefault="00EB5BE8" w:rsidP="000E56C7">
            <w:pPr>
              <w:pStyle w:val="HeaderFooterTitles"/>
              <w:jc w:val="both"/>
              <w:rPr>
                <w:b w:val="0"/>
                <w:i/>
                <w:caps w:val="0"/>
              </w:rPr>
            </w:pPr>
            <w:r>
              <w:rPr>
                <w:b w:val="0"/>
                <w:i/>
                <w:caps w:val="0"/>
              </w:rPr>
              <w:t>Medical Devices Committee</w:t>
            </w:r>
          </w:p>
        </w:tc>
      </w:tr>
      <w:tr w:rsidR="00A77349" w:rsidRPr="000E56C7">
        <w:tc>
          <w:tcPr>
            <w:tcW w:w="948" w:type="dxa"/>
          </w:tcPr>
          <w:p w:rsidR="00A77349" w:rsidRPr="000E56C7" w:rsidRDefault="00A77349" w:rsidP="00425D04">
            <w:pPr>
              <w:pStyle w:val="HeaderFooterTitles"/>
              <w:jc w:val="both"/>
              <w:rPr>
                <w:caps w:val="0"/>
              </w:rPr>
            </w:pPr>
            <w:r w:rsidRPr="000E56C7">
              <w:rPr>
                <w:caps w:val="0"/>
              </w:rPr>
              <w:t>Date</w:t>
            </w:r>
          </w:p>
        </w:tc>
        <w:tc>
          <w:tcPr>
            <w:tcW w:w="4440" w:type="dxa"/>
          </w:tcPr>
          <w:p w:rsidR="00A77349" w:rsidRPr="000E56C7" w:rsidRDefault="00425D04" w:rsidP="00DE239D">
            <w:pPr>
              <w:pStyle w:val="HeaderFooterTitles"/>
              <w:jc w:val="both"/>
              <w:rPr>
                <w:b w:val="0"/>
                <w:i/>
                <w:caps w:val="0"/>
              </w:rPr>
            </w:pPr>
            <w:r>
              <w:rPr>
                <w:b w:val="0"/>
                <w:i/>
                <w:caps w:val="0"/>
              </w:rPr>
              <w:t>2</w:t>
            </w:r>
            <w:r w:rsidR="00DE239D">
              <w:rPr>
                <w:b w:val="0"/>
                <w:i/>
                <w:caps w:val="0"/>
              </w:rPr>
              <w:t>5</w:t>
            </w:r>
            <w:r w:rsidR="00EB5BE8">
              <w:rPr>
                <w:b w:val="0"/>
                <w:i/>
                <w:caps w:val="0"/>
              </w:rPr>
              <w:t>/0</w:t>
            </w:r>
            <w:r w:rsidR="0015589A">
              <w:rPr>
                <w:b w:val="0"/>
                <w:i/>
                <w:caps w:val="0"/>
              </w:rPr>
              <w:t>2</w:t>
            </w:r>
            <w:r w:rsidR="00EB5BE8">
              <w:rPr>
                <w:b w:val="0"/>
                <w:i/>
                <w:caps w:val="0"/>
              </w:rPr>
              <w:t>/1</w:t>
            </w:r>
            <w:r w:rsidR="00DE239D">
              <w:rPr>
                <w:b w:val="0"/>
                <w:i/>
                <w:caps w:val="0"/>
              </w:rPr>
              <w:t>4</w:t>
            </w:r>
          </w:p>
        </w:tc>
      </w:tr>
    </w:tbl>
    <w:p w:rsidR="00A77349" w:rsidRDefault="0023003A" w:rsidP="00BD6B4B">
      <w:pPr>
        <w:ind w:right="-853"/>
        <w:jc w:val="right"/>
      </w:pPr>
      <w:r w:rsidRPr="0023003A">
        <w:rPr>
          <w:i/>
          <w:noProof/>
          <w:lang w:val="en-US"/>
        </w:rPr>
        <w:pict>
          <v:shapetype id="_x0000_t202" coordsize="21600,21600" o:spt="202" path="m,l,21600r21600,l21600,xe">
            <v:stroke joinstyle="miter"/>
            <v:path gradientshapeok="t" o:connecttype="rect"/>
          </v:shapetype>
          <v:shape id="_x0000_s1040" type="#_x0000_t202" style="position:absolute;left:0;text-align:left;margin-left:117.55pt;margin-top:-31.6pt;width:2in;height:22.4pt;z-index:251657216;mso-position-horizontal-relative:text;mso-position-vertical-relative:text" stroked="f">
            <v:textbox>
              <w:txbxContent>
                <w:p w:rsidR="00624942" w:rsidRDefault="00624942">
                  <w:r>
                    <w:t>Attachment/Appendix #</w:t>
                  </w:r>
                </w:p>
              </w:txbxContent>
            </v:textbox>
          </v:shape>
        </w:pict>
      </w:r>
      <w:r w:rsidR="007777EC">
        <w:rPr>
          <w:noProof/>
          <w:lang w:eastAsia="en-GB"/>
        </w:rPr>
        <w:drawing>
          <wp:inline distT="0" distB="0" distL="0" distR="0">
            <wp:extent cx="1819275" cy="571500"/>
            <wp:effectExtent l="19050" t="0" r="9525" b="0"/>
            <wp:docPr id="1" name="Picture 1" descr="lette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logo"/>
                    <pic:cNvPicPr>
                      <a:picLocks noChangeAspect="1" noChangeArrowheads="1"/>
                    </pic:cNvPicPr>
                  </pic:nvPicPr>
                  <pic:blipFill>
                    <a:blip r:embed="rId7" cstate="print"/>
                    <a:srcRect/>
                    <a:stretch>
                      <a:fillRect/>
                    </a:stretch>
                  </pic:blipFill>
                  <pic:spPr bwMode="auto">
                    <a:xfrm>
                      <a:off x="0" y="0"/>
                      <a:ext cx="1819275" cy="571500"/>
                    </a:xfrm>
                    <a:prstGeom prst="rect">
                      <a:avLst/>
                    </a:prstGeom>
                    <a:noFill/>
                    <a:ln w="9525">
                      <a:noFill/>
                      <a:miter lim="800000"/>
                      <a:headEnd/>
                      <a:tailEnd/>
                    </a:ln>
                  </pic:spPr>
                </pic:pic>
              </a:graphicData>
            </a:graphic>
          </wp:inline>
        </w:drawing>
      </w:r>
    </w:p>
    <w:tbl>
      <w:tblPr>
        <w:tblpPr w:leftFromText="181" w:rightFromText="181" w:vertAnchor="page" w:horzAnchor="margin" w:tblpXSpec="center" w:tblpY="1900"/>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14"/>
        <w:gridCol w:w="9466"/>
      </w:tblGrid>
      <w:tr w:rsidR="00541408" w:rsidRPr="000E56C7">
        <w:trPr>
          <w:cantSplit/>
          <w:trHeight w:val="20"/>
        </w:trPr>
        <w:tc>
          <w:tcPr>
            <w:tcW w:w="1214" w:type="dxa"/>
            <w:vAlign w:val="center"/>
          </w:tcPr>
          <w:p w:rsidR="00541408" w:rsidRPr="000E56C7" w:rsidRDefault="00541408" w:rsidP="000E56C7">
            <w:pPr>
              <w:pStyle w:val="Instructions"/>
              <w:spacing w:before="60" w:after="60"/>
              <w:rPr>
                <w:b/>
                <w:i w:val="0"/>
                <w:color w:val="auto"/>
              </w:rPr>
            </w:pPr>
            <w:r w:rsidRPr="000E56C7">
              <w:rPr>
                <w:b/>
                <w:i w:val="0"/>
                <w:color w:val="auto"/>
              </w:rPr>
              <w:t xml:space="preserve">Title </w:t>
            </w:r>
          </w:p>
        </w:tc>
        <w:tc>
          <w:tcPr>
            <w:tcW w:w="9466" w:type="dxa"/>
            <w:vAlign w:val="center"/>
          </w:tcPr>
          <w:p w:rsidR="00541408" w:rsidRPr="000E56C7" w:rsidRDefault="00EB5BE8" w:rsidP="00EB5BE8">
            <w:pPr>
              <w:rPr>
                <w:i/>
                <w:iCs/>
              </w:rPr>
            </w:pPr>
            <w:r>
              <w:t>Medical Devices Committee Annual Report</w:t>
            </w:r>
          </w:p>
        </w:tc>
      </w:tr>
      <w:tr w:rsidR="00541408" w:rsidRPr="000E56C7">
        <w:trPr>
          <w:cantSplit/>
          <w:trHeight w:val="2306"/>
        </w:trPr>
        <w:tc>
          <w:tcPr>
            <w:tcW w:w="10680" w:type="dxa"/>
            <w:gridSpan w:val="2"/>
          </w:tcPr>
          <w:p w:rsidR="00541408" w:rsidRPr="000E56C7" w:rsidRDefault="00541408" w:rsidP="000E56C7">
            <w:pPr>
              <w:pStyle w:val="HeaderFooterTitles"/>
              <w:jc w:val="both"/>
              <w:rPr>
                <w:caps w:val="0"/>
              </w:rPr>
            </w:pPr>
            <w:r w:rsidRPr="000E56C7">
              <w:rPr>
                <w:caps w:val="0"/>
              </w:rPr>
              <w:t xml:space="preserve">Purpose of the Report: </w:t>
            </w:r>
            <w:r w:rsidRPr="000E56C7">
              <w:rPr>
                <w:b w:val="0"/>
                <w:i/>
                <w:caps w:val="0"/>
              </w:rPr>
              <w:t>(No more than 2 sentences)</w:t>
            </w:r>
          </w:p>
          <w:p w:rsidR="00541408" w:rsidRPr="007E244E" w:rsidRDefault="00541408" w:rsidP="000E56C7">
            <w:pPr>
              <w:pStyle w:val="HeaderFooterTitles"/>
              <w:jc w:val="both"/>
              <w:rPr>
                <w:caps w:val="0"/>
                <w:sz w:val="16"/>
                <w:szCs w:val="16"/>
              </w:rPr>
            </w:pPr>
          </w:p>
          <w:p w:rsidR="009C52AB" w:rsidRPr="007E244E" w:rsidRDefault="009C52AB" w:rsidP="000E56C7">
            <w:pPr>
              <w:pStyle w:val="Instructions"/>
              <w:numPr>
                <w:ilvl w:val="0"/>
                <w:numId w:val="9"/>
              </w:numPr>
              <w:rPr>
                <w:iCs w:val="0"/>
                <w:color w:val="auto"/>
              </w:rPr>
            </w:pPr>
            <w:r w:rsidRPr="007E244E">
              <w:rPr>
                <w:iCs w:val="0"/>
                <w:color w:val="auto"/>
              </w:rPr>
              <w:t>This report provides an overview of the provision of Medical Devices Management within the Trust for 20</w:t>
            </w:r>
            <w:r w:rsidR="008964DE">
              <w:rPr>
                <w:iCs w:val="0"/>
                <w:color w:val="auto"/>
              </w:rPr>
              <w:t>1</w:t>
            </w:r>
            <w:r w:rsidR="00DE239D">
              <w:rPr>
                <w:iCs w:val="0"/>
                <w:color w:val="auto"/>
              </w:rPr>
              <w:t>3</w:t>
            </w:r>
          </w:p>
          <w:p w:rsidR="00A77349" w:rsidRPr="007E244E" w:rsidRDefault="009C52AB" w:rsidP="000E56C7">
            <w:pPr>
              <w:pStyle w:val="Instructions"/>
              <w:numPr>
                <w:ilvl w:val="0"/>
                <w:numId w:val="9"/>
              </w:numPr>
              <w:rPr>
                <w:iCs w:val="0"/>
                <w:color w:val="auto"/>
              </w:rPr>
            </w:pPr>
            <w:r w:rsidRPr="007E244E">
              <w:rPr>
                <w:iCs w:val="0"/>
                <w:color w:val="auto"/>
              </w:rPr>
              <w:t>Including objectives for 201</w:t>
            </w:r>
            <w:r w:rsidR="00DE239D">
              <w:rPr>
                <w:iCs w:val="0"/>
                <w:color w:val="auto"/>
              </w:rPr>
              <w:t>4</w:t>
            </w:r>
          </w:p>
          <w:p w:rsidR="00541408" w:rsidRPr="007E244E" w:rsidRDefault="00541408" w:rsidP="000E56C7">
            <w:pPr>
              <w:pStyle w:val="Instructions"/>
              <w:rPr>
                <w:i w:val="0"/>
                <w:iCs w:val="0"/>
                <w:color w:val="auto"/>
                <w:sz w:val="16"/>
                <w:szCs w:val="16"/>
              </w:rPr>
            </w:pPr>
          </w:p>
          <w:p w:rsidR="00541408" w:rsidRPr="000E56C7" w:rsidRDefault="00541408" w:rsidP="000E56C7">
            <w:pPr>
              <w:pStyle w:val="HeaderFooterTitles"/>
              <w:jc w:val="both"/>
              <w:rPr>
                <w:b w:val="0"/>
                <w:caps w:val="0"/>
              </w:rPr>
            </w:pPr>
            <w:r w:rsidRPr="000E56C7">
              <w:rPr>
                <w:b w:val="0"/>
                <w:caps w:val="0"/>
              </w:rPr>
              <w:t>The report is provided to the Committee for:</w:t>
            </w:r>
          </w:p>
          <w:tbl>
            <w:tblPr>
              <w:tblpPr w:leftFromText="180" w:rightFromText="180" w:vertAnchor="text" w:horzAnchor="margin" w:tblpXSpec="center" w:tblpY="192"/>
              <w:tblOverlap w:val="never"/>
              <w:tblW w:w="7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3"/>
              <w:gridCol w:w="390"/>
              <w:gridCol w:w="236"/>
              <w:gridCol w:w="3395"/>
              <w:gridCol w:w="426"/>
            </w:tblGrid>
            <w:tr w:rsidR="00541408">
              <w:trPr>
                <w:trHeight w:val="20"/>
              </w:trPr>
              <w:tc>
                <w:tcPr>
                  <w:tcW w:w="3240" w:type="dxa"/>
                </w:tcPr>
                <w:p w:rsidR="00541408" w:rsidRPr="00694939" w:rsidRDefault="00541408" w:rsidP="00EC58DB">
                  <w:pPr>
                    <w:jc w:val="both"/>
                    <w:rPr>
                      <w:sz w:val="22"/>
                    </w:rPr>
                  </w:pPr>
                  <w:r>
                    <w:rPr>
                      <w:b/>
                      <w:sz w:val="22"/>
                    </w:rPr>
                    <w:t>D</w:t>
                  </w:r>
                  <w:r w:rsidRPr="00694939">
                    <w:rPr>
                      <w:b/>
                      <w:sz w:val="22"/>
                    </w:rPr>
                    <w:t>ecision</w:t>
                  </w:r>
                  <w:r w:rsidRPr="00694939">
                    <w:rPr>
                      <w:sz w:val="22"/>
                    </w:rPr>
                    <w:t xml:space="preserve"> </w:t>
                  </w:r>
                </w:p>
              </w:tc>
              <w:tc>
                <w:tcPr>
                  <w:tcW w:w="377" w:type="dxa"/>
                  <w:vAlign w:val="center"/>
                </w:tcPr>
                <w:p w:rsidR="00541408" w:rsidRPr="00694939" w:rsidRDefault="009C52AB" w:rsidP="00EC58DB">
                  <w:pPr>
                    <w:jc w:val="both"/>
                    <w:rPr>
                      <w:b/>
                      <w:szCs w:val="24"/>
                    </w:rPr>
                  </w:pPr>
                  <w:r>
                    <w:rPr>
                      <w:b/>
                      <w:szCs w:val="24"/>
                    </w:rPr>
                    <w:t>N</w:t>
                  </w:r>
                </w:p>
              </w:tc>
              <w:tc>
                <w:tcPr>
                  <w:tcW w:w="236" w:type="dxa"/>
                  <w:tcBorders>
                    <w:top w:val="nil"/>
                    <w:bottom w:val="nil"/>
                  </w:tcBorders>
                </w:tcPr>
                <w:p w:rsidR="00541408" w:rsidRPr="00694939" w:rsidRDefault="00541408" w:rsidP="00EC58DB">
                  <w:pPr>
                    <w:jc w:val="both"/>
                    <w:rPr>
                      <w:sz w:val="22"/>
                    </w:rPr>
                  </w:pPr>
                </w:p>
              </w:tc>
              <w:tc>
                <w:tcPr>
                  <w:tcW w:w="3401" w:type="dxa"/>
                </w:tcPr>
                <w:p w:rsidR="00541408" w:rsidRPr="00694939" w:rsidRDefault="00541408" w:rsidP="00EC58DB">
                  <w:pPr>
                    <w:jc w:val="both"/>
                    <w:rPr>
                      <w:sz w:val="22"/>
                    </w:rPr>
                  </w:pPr>
                  <w:r w:rsidRPr="00694939">
                    <w:rPr>
                      <w:b/>
                      <w:sz w:val="22"/>
                    </w:rPr>
                    <w:t>Discussion</w:t>
                  </w:r>
                  <w:r w:rsidRPr="00694939">
                    <w:rPr>
                      <w:sz w:val="22"/>
                    </w:rPr>
                    <w:t xml:space="preserve"> </w:t>
                  </w:r>
                </w:p>
              </w:tc>
              <w:tc>
                <w:tcPr>
                  <w:tcW w:w="426" w:type="dxa"/>
                </w:tcPr>
                <w:p w:rsidR="00541408" w:rsidRPr="00694939" w:rsidRDefault="00541408" w:rsidP="00EC58DB">
                  <w:pPr>
                    <w:jc w:val="both"/>
                    <w:rPr>
                      <w:sz w:val="22"/>
                    </w:rPr>
                  </w:pPr>
                  <w:r>
                    <w:rPr>
                      <w:sz w:val="22"/>
                    </w:rPr>
                    <w:t>N</w:t>
                  </w:r>
                </w:p>
              </w:tc>
            </w:tr>
            <w:tr w:rsidR="00541408">
              <w:trPr>
                <w:trHeight w:hRule="exact" w:val="80"/>
              </w:trPr>
              <w:tc>
                <w:tcPr>
                  <w:tcW w:w="3240" w:type="dxa"/>
                  <w:tcBorders>
                    <w:left w:val="nil"/>
                    <w:right w:val="nil"/>
                  </w:tcBorders>
                </w:tcPr>
                <w:p w:rsidR="00541408" w:rsidRPr="00694939" w:rsidRDefault="00541408" w:rsidP="00EC58DB">
                  <w:pPr>
                    <w:jc w:val="both"/>
                    <w:rPr>
                      <w:sz w:val="22"/>
                    </w:rPr>
                  </w:pPr>
                </w:p>
              </w:tc>
              <w:tc>
                <w:tcPr>
                  <w:tcW w:w="377" w:type="dxa"/>
                  <w:tcBorders>
                    <w:left w:val="nil"/>
                    <w:right w:val="nil"/>
                  </w:tcBorders>
                </w:tcPr>
                <w:p w:rsidR="00541408" w:rsidRPr="00694939" w:rsidRDefault="00541408" w:rsidP="00EC58DB">
                  <w:pPr>
                    <w:jc w:val="both"/>
                    <w:rPr>
                      <w:sz w:val="22"/>
                    </w:rPr>
                  </w:pPr>
                </w:p>
              </w:tc>
              <w:tc>
                <w:tcPr>
                  <w:tcW w:w="236" w:type="dxa"/>
                  <w:tcBorders>
                    <w:top w:val="nil"/>
                    <w:left w:val="nil"/>
                    <w:bottom w:val="nil"/>
                    <w:right w:val="nil"/>
                  </w:tcBorders>
                </w:tcPr>
                <w:p w:rsidR="00541408" w:rsidRPr="00694939" w:rsidRDefault="00541408" w:rsidP="00EC58DB">
                  <w:pPr>
                    <w:jc w:val="both"/>
                    <w:rPr>
                      <w:sz w:val="22"/>
                    </w:rPr>
                  </w:pPr>
                </w:p>
              </w:tc>
              <w:tc>
                <w:tcPr>
                  <w:tcW w:w="3401" w:type="dxa"/>
                  <w:tcBorders>
                    <w:left w:val="nil"/>
                    <w:right w:val="nil"/>
                  </w:tcBorders>
                </w:tcPr>
                <w:p w:rsidR="00541408" w:rsidRPr="00694939" w:rsidRDefault="00541408" w:rsidP="00EC58DB">
                  <w:pPr>
                    <w:jc w:val="both"/>
                    <w:rPr>
                      <w:sz w:val="22"/>
                    </w:rPr>
                  </w:pPr>
                </w:p>
              </w:tc>
              <w:tc>
                <w:tcPr>
                  <w:tcW w:w="426" w:type="dxa"/>
                  <w:tcBorders>
                    <w:left w:val="nil"/>
                    <w:right w:val="nil"/>
                  </w:tcBorders>
                </w:tcPr>
                <w:p w:rsidR="00541408" w:rsidRPr="00694939" w:rsidRDefault="00541408" w:rsidP="00EC58DB">
                  <w:pPr>
                    <w:jc w:val="both"/>
                    <w:rPr>
                      <w:sz w:val="22"/>
                    </w:rPr>
                  </w:pPr>
                </w:p>
              </w:tc>
            </w:tr>
            <w:tr w:rsidR="00541408">
              <w:trPr>
                <w:trHeight w:val="20"/>
              </w:trPr>
              <w:tc>
                <w:tcPr>
                  <w:tcW w:w="3240" w:type="dxa"/>
                </w:tcPr>
                <w:p w:rsidR="00541408" w:rsidRPr="00694939" w:rsidRDefault="00541408" w:rsidP="00EC58DB">
                  <w:pPr>
                    <w:jc w:val="both"/>
                    <w:rPr>
                      <w:sz w:val="22"/>
                    </w:rPr>
                  </w:pPr>
                  <w:r w:rsidRPr="00694939">
                    <w:rPr>
                      <w:b/>
                      <w:sz w:val="22"/>
                    </w:rPr>
                    <w:t>Assurance</w:t>
                  </w:r>
                  <w:r w:rsidRPr="00694939">
                    <w:rPr>
                      <w:sz w:val="22"/>
                    </w:rPr>
                    <w:t xml:space="preserve"> </w:t>
                  </w:r>
                </w:p>
              </w:tc>
              <w:tc>
                <w:tcPr>
                  <w:tcW w:w="377" w:type="dxa"/>
                </w:tcPr>
                <w:p w:rsidR="00541408" w:rsidRPr="00694939" w:rsidRDefault="00541408" w:rsidP="00EC58DB">
                  <w:pPr>
                    <w:jc w:val="both"/>
                    <w:rPr>
                      <w:sz w:val="22"/>
                    </w:rPr>
                  </w:pPr>
                  <w:r>
                    <w:rPr>
                      <w:sz w:val="22"/>
                    </w:rPr>
                    <w:t>N</w:t>
                  </w:r>
                </w:p>
              </w:tc>
              <w:tc>
                <w:tcPr>
                  <w:tcW w:w="236" w:type="dxa"/>
                  <w:tcBorders>
                    <w:top w:val="nil"/>
                    <w:bottom w:val="nil"/>
                  </w:tcBorders>
                </w:tcPr>
                <w:p w:rsidR="00541408" w:rsidRPr="00694939" w:rsidRDefault="00541408" w:rsidP="00EC58DB">
                  <w:pPr>
                    <w:jc w:val="both"/>
                    <w:rPr>
                      <w:sz w:val="22"/>
                    </w:rPr>
                  </w:pPr>
                </w:p>
              </w:tc>
              <w:tc>
                <w:tcPr>
                  <w:tcW w:w="3401" w:type="dxa"/>
                </w:tcPr>
                <w:p w:rsidR="00541408" w:rsidRPr="00694939" w:rsidRDefault="00541408" w:rsidP="00EC58DB">
                  <w:pPr>
                    <w:jc w:val="both"/>
                    <w:rPr>
                      <w:sz w:val="22"/>
                    </w:rPr>
                  </w:pPr>
                  <w:r w:rsidRPr="00694939">
                    <w:rPr>
                      <w:b/>
                      <w:sz w:val="22"/>
                    </w:rPr>
                    <w:t>Endorsement</w:t>
                  </w:r>
                  <w:r w:rsidRPr="00694939">
                    <w:rPr>
                      <w:sz w:val="22"/>
                    </w:rPr>
                    <w:t xml:space="preserve"> </w:t>
                  </w:r>
                </w:p>
              </w:tc>
              <w:tc>
                <w:tcPr>
                  <w:tcW w:w="426" w:type="dxa"/>
                </w:tcPr>
                <w:p w:rsidR="00541408" w:rsidRPr="00694939" w:rsidRDefault="009C52AB" w:rsidP="00EC58DB">
                  <w:pPr>
                    <w:jc w:val="both"/>
                    <w:rPr>
                      <w:sz w:val="22"/>
                    </w:rPr>
                  </w:pPr>
                  <w:r>
                    <w:rPr>
                      <w:sz w:val="22"/>
                    </w:rPr>
                    <w:t>Y</w:t>
                  </w:r>
                </w:p>
              </w:tc>
            </w:tr>
          </w:tbl>
          <w:p w:rsidR="00541408" w:rsidRPr="000E56C7" w:rsidRDefault="00541408" w:rsidP="000E56C7">
            <w:pPr>
              <w:pStyle w:val="Instructions"/>
              <w:jc w:val="center"/>
              <w:rPr>
                <w:b/>
                <w:i w:val="0"/>
                <w:color w:val="auto"/>
                <w:szCs w:val="24"/>
              </w:rPr>
            </w:pPr>
          </w:p>
        </w:tc>
      </w:tr>
      <w:tr w:rsidR="00541408" w:rsidRPr="000E56C7">
        <w:trPr>
          <w:cantSplit/>
        </w:trPr>
        <w:tc>
          <w:tcPr>
            <w:tcW w:w="10680" w:type="dxa"/>
            <w:gridSpan w:val="2"/>
          </w:tcPr>
          <w:p w:rsidR="00541408" w:rsidRPr="000E56C7" w:rsidRDefault="00541408" w:rsidP="000E56C7">
            <w:pPr>
              <w:jc w:val="both"/>
              <w:rPr>
                <w:b/>
                <w:sz w:val="16"/>
              </w:rPr>
            </w:pPr>
          </w:p>
          <w:p w:rsidR="00541408" w:rsidRPr="000E56C7" w:rsidRDefault="00541408" w:rsidP="000E56C7">
            <w:pPr>
              <w:pStyle w:val="HeaderFooterTitles"/>
              <w:jc w:val="both"/>
              <w:rPr>
                <w:caps w:val="0"/>
              </w:rPr>
            </w:pPr>
            <w:r w:rsidRPr="000E56C7">
              <w:rPr>
                <w:caps w:val="0"/>
              </w:rPr>
              <w:t>Summary/Key Points:</w:t>
            </w:r>
          </w:p>
          <w:p w:rsidR="00541408" w:rsidRPr="007E244E" w:rsidRDefault="00541408" w:rsidP="000E56C7">
            <w:pPr>
              <w:pStyle w:val="HeaderFooterTitles"/>
              <w:jc w:val="both"/>
              <w:rPr>
                <w:caps w:val="0"/>
                <w:sz w:val="16"/>
                <w:szCs w:val="16"/>
              </w:rPr>
            </w:pPr>
          </w:p>
          <w:p w:rsidR="00A77349" w:rsidRPr="007E244E" w:rsidRDefault="009C52AB" w:rsidP="000E56C7">
            <w:pPr>
              <w:pStyle w:val="HeaderFooterTitles"/>
              <w:numPr>
                <w:ilvl w:val="0"/>
                <w:numId w:val="7"/>
              </w:numPr>
              <w:jc w:val="both"/>
              <w:rPr>
                <w:b w:val="0"/>
                <w:i/>
                <w:iCs/>
                <w:caps w:val="0"/>
              </w:rPr>
            </w:pPr>
            <w:r w:rsidRPr="007E244E">
              <w:rPr>
                <w:b w:val="0"/>
                <w:i/>
                <w:iCs/>
                <w:caps w:val="0"/>
              </w:rPr>
              <w:t>The Trust’s arrangements for Medical Devices are described in the Medical Devices Policy and Procedures</w:t>
            </w:r>
          </w:p>
          <w:p w:rsidR="00A77349" w:rsidRPr="007E244E" w:rsidRDefault="009C52AB" w:rsidP="000E56C7">
            <w:pPr>
              <w:pStyle w:val="HeaderFooterTitles"/>
              <w:numPr>
                <w:ilvl w:val="0"/>
                <w:numId w:val="7"/>
              </w:numPr>
              <w:jc w:val="both"/>
              <w:rPr>
                <w:b w:val="0"/>
                <w:i/>
                <w:iCs/>
                <w:caps w:val="0"/>
              </w:rPr>
            </w:pPr>
            <w:r w:rsidRPr="007E244E">
              <w:rPr>
                <w:b w:val="0"/>
                <w:i/>
                <w:iCs/>
                <w:caps w:val="0"/>
              </w:rPr>
              <w:t>A Medical Devices Manager is responsible for day to day control,</w:t>
            </w:r>
            <w:r w:rsidR="0015589A">
              <w:rPr>
                <w:b w:val="0"/>
                <w:i/>
                <w:iCs/>
                <w:caps w:val="0"/>
              </w:rPr>
              <w:t xml:space="preserve"> supported by a Medical Devices Co</w:t>
            </w:r>
            <w:r w:rsidR="00282064">
              <w:rPr>
                <w:b w:val="0"/>
                <w:i/>
                <w:iCs/>
                <w:caps w:val="0"/>
              </w:rPr>
              <w:t>o</w:t>
            </w:r>
            <w:r w:rsidR="0015589A">
              <w:rPr>
                <w:b w:val="0"/>
                <w:i/>
                <w:iCs/>
                <w:caps w:val="0"/>
              </w:rPr>
              <w:t>rdinator</w:t>
            </w:r>
            <w:r w:rsidR="00282064">
              <w:rPr>
                <w:b w:val="0"/>
                <w:i/>
                <w:iCs/>
                <w:caps w:val="0"/>
              </w:rPr>
              <w:t xml:space="preserve">. </w:t>
            </w:r>
            <w:r w:rsidRPr="007E244E">
              <w:rPr>
                <w:b w:val="0"/>
                <w:i/>
                <w:iCs/>
                <w:caps w:val="0"/>
              </w:rPr>
              <w:t>Faculty Educators, Medical Devices and a Point of Care Testing</w:t>
            </w:r>
            <w:r w:rsidR="00282064">
              <w:rPr>
                <w:b w:val="0"/>
                <w:i/>
                <w:iCs/>
                <w:caps w:val="0"/>
              </w:rPr>
              <w:t xml:space="preserve"> (POCT)</w:t>
            </w:r>
            <w:r w:rsidRPr="007E244E">
              <w:rPr>
                <w:b w:val="0"/>
                <w:i/>
                <w:iCs/>
                <w:caps w:val="0"/>
              </w:rPr>
              <w:t xml:space="preserve"> Coordinator are operationally responsible </w:t>
            </w:r>
            <w:r w:rsidR="00282064">
              <w:rPr>
                <w:b w:val="0"/>
                <w:i/>
                <w:iCs/>
                <w:caps w:val="0"/>
              </w:rPr>
              <w:t xml:space="preserve">for Training and POCT </w:t>
            </w:r>
            <w:r w:rsidRPr="007E244E">
              <w:rPr>
                <w:b w:val="0"/>
                <w:i/>
                <w:iCs/>
                <w:caps w:val="0"/>
              </w:rPr>
              <w:t>under the auspices of the Medical Devices Committee</w:t>
            </w:r>
          </w:p>
          <w:p w:rsidR="00A77349" w:rsidRPr="007E244E" w:rsidRDefault="00DF5275" w:rsidP="000E56C7">
            <w:pPr>
              <w:pStyle w:val="HeaderFooterTitles"/>
              <w:numPr>
                <w:ilvl w:val="0"/>
                <w:numId w:val="7"/>
              </w:numPr>
              <w:jc w:val="both"/>
              <w:rPr>
                <w:b w:val="0"/>
                <w:i/>
                <w:iCs/>
                <w:caps w:val="0"/>
              </w:rPr>
            </w:pPr>
            <w:r w:rsidRPr="007E244E">
              <w:rPr>
                <w:b w:val="0"/>
                <w:i/>
                <w:iCs/>
                <w:caps w:val="0"/>
              </w:rPr>
              <w:t xml:space="preserve">Medical Devices are well managed generally and the Trust is compliant with NHSLA standards </w:t>
            </w:r>
            <w:r w:rsidR="00425D04">
              <w:rPr>
                <w:b w:val="0"/>
                <w:i/>
                <w:iCs/>
                <w:caps w:val="0"/>
              </w:rPr>
              <w:t>at</w:t>
            </w:r>
            <w:r w:rsidRPr="007E244E">
              <w:rPr>
                <w:b w:val="0"/>
                <w:i/>
                <w:iCs/>
                <w:caps w:val="0"/>
              </w:rPr>
              <w:t xml:space="preserve"> level 2</w:t>
            </w:r>
            <w:r w:rsidR="00425D04">
              <w:rPr>
                <w:b w:val="0"/>
                <w:i/>
                <w:iCs/>
                <w:caps w:val="0"/>
              </w:rPr>
              <w:t>. Last inspected</w:t>
            </w:r>
            <w:r w:rsidRPr="007E244E">
              <w:rPr>
                <w:b w:val="0"/>
                <w:i/>
                <w:iCs/>
                <w:caps w:val="0"/>
              </w:rPr>
              <w:t xml:space="preserve"> in January </w:t>
            </w:r>
            <w:r w:rsidR="00425D04">
              <w:rPr>
                <w:b w:val="0"/>
                <w:i/>
                <w:iCs/>
                <w:caps w:val="0"/>
              </w:rPr>
              <w:t xml:space="preserve">&amp; July </w:t>
            </w:r>
            <w:r w:rsidRPr="007E244E">
              <w:rPr>
                <w:b w:val="0"/>
                <w:i/>
                <w:iCs/>
                <w:caps w:val="0"/>
              </w:rPr>
              <w:t>20</w:t>
            </w:r>
            <w:r w:rsidR="0015589A">
              <w:rPr>
                <w:b w:val="0"/>
                <w:i/>
                <w:iCs/>
                <w:caps w:val="0"/>
              </w:rPr>
              <w:t>1</w:t>
            </w:r>
            <w:r w:rsidR="00425D04">
              <w:rPr>
                <w:b w:val="0"/>
                <w:i/>
                <w:iCs/>
                <w:caps w:val="0"/>
              </w:rPr>
              <w:t xml:space="preserve">2. </w:t>
            </w:r>
          </w:p>
          <w:p w:rsidR="00A77349" w:rsidRPr="007E244E" w:rsidRDefault="00DF5275" w:rsidP="000E56C7">
            <w:pPr>
              <w:pStyle w:val="HeaderFooterTitles"/>
              <w:numPr>
                <w:ilvl w:val="0"/>
                <w:numId w:val="7"/>
              </w:numPr>
              <w:jc w:val="both"/>
              <w:rPr>
                <w:b w:val="0"/>
                <w:i/>
                <w:iCs/>
                <w:caps w:val="0"/>
              </w:rPr>
            </w:pPr>
            <w:r w:rsidRPr="007E244E">
              <w:rPr>
                <w:b w:val="0"/>
                <w:i/>
                <w:iCs/>
                <w:caps w:val="0"/>
              </w:rPr>
              <w:t xml:space="preserve">The Trust must achieve and monitor compliance with NHSLA standards and CQC outcomes  </w:t>
            </w:r>
          </w:p>
          <w:p w:rsidR="00541408" w:rsidRPr="007E244E" w:rsidRDefault="00541408" w:rsidP="000E56C7">
            <w:pPr>
              <w:pStyle w:val="Instructions"/>
              <w:rPr>
                <w:b/>
                <w:i w:val="0"/>
                <w:color w:val="auto"/>
                <w:sz w:val="16"/>
                <w:szCs w:val="16"/>
              </w:rPr>
            </w:pPr>
          </w:p>
        </w:tc>
      </w:tr>
      <w:tr w:rsidR="00541408" w:rsidRPr="000E56C7">
        <w:trPr>
          <w:cantSplit/>
        </w:trPr>
        <w:tc>
          <w:tcPr>
            <w:tcW w:w="10680" w:type="dxa"/>
            <w:gridSpan w:val="2"/>
          </w:tcPr>
          <w:p w:rsidR="00541408" w:rsidRPr="007E244E" w:rsidRDefault="00541408" w:rsidP="000E56C7">
            <w:pPr>
              <w:pStyle w:val="HeaderFooterTitles"/>
              <w:jc w:val="both"/>
              <w:rPr>
                <w:caps w:val="0"/>
              </w:rPr>
            </w:pPr>
            <w:r w:rsidRPr="007E244E">
              <w:rPr>
                <w:caps w:val="0"/>
              </w:rPr>
              <w:t>Recommendations:</w:t>
            </w:r>
          </w:p>
          <w:p w:rsidR="00541408" w:rsidRPr="007E244E" w:rsidRDefault="00541408" w:rsidP="000E56C7">
            <w:pPr>
              <w:pStyle w:val="HeaderFooterTitles"/>
              <w:jc w:val="both"/>
              <w:rPr>
                <w:caps w:val="0"/>
                <w:sz w:val="16"/>
                <w:szCs w:val="16"/>
              </w:rPr>
            </w:pPr>
          </w:p>
          <w:p w:rsidR="00541408" w:rsidRPr="007E244E" w:rsidRDefault="00541408" w:rsidP="000E56C7">
            <w:pPr>
              <w:pStyle w:val="HeaderFooterTitles"/>
              <w:jc w:val="both"/>
              <w:rPr>
                <w:b w:val="0"/>
                <w:iCs/>
                <w:caps w:val="0"/>
              </w:rPr>
            </w:pPr>
            <w:r w:rsidRPr="007E244E">
              <w:rPr>
                <w:b w:val="0"/>
                <w:iCs/>
                <w:caps w:val="0"/>
              </w:rPr>
              <w:t>The</w:t>
            </w:r>
            <w:r w:rsidRPr="007E244E">
              <w:rPr>
                <w:b w:val="0"/>
                <w:i/>
                <w:iCs/>
                <w:caps w:val="0"/>
              </w:rPr>
              <w:t xml:space="preserve"> </w:t>
            </w:r>
            <w:r w:rsidR="007E244E" w:rsidRPr="007E244E">
              <w:rPr>
                <w:b w:val="0"/>
                <w:i/>
                <w:iCs/>
                <w:caps w:val="0"/>
              </w:rPr>
              <w:t>Safety Committee</w:t>
            </w:r>
            <w:r w:rsidRPr="007E244E">
              <w:rPr>
                <w:b w:val="0"/>
                <w:i/>
                <w:iCs/>
                <w:caps w:val="0"/>
              </w:rPr>
              <w:t xml:space="preserve"> </w:t>
            </w:r>
            <w:r w:rsidRPr="007E244E">
              <w:rPr>
                <w:b w:val="0"/>
                <w:iCs/>
                <w:caps w:val="0"/>
              </w:rPr>
              <w:t>is asked to:</w:t>
            </w:r>
          </w:p>
          <w:p w:rsidR="00541408" w:rsidRPr="007E244E" w:rsidRDefault="00541408" w:rsidP="000E56C7">
            <w:pPr>
              <w:pStyle w:val="HeaderFooterTitles"/>
              <w:jc w:val="both"/>
              <w:rPr>
                <w:b w:val="0"/>
                <w:i/>
                <w:iCs/>
                <w:caps w:val="0"/>
                <w:sz w:val="16"/>
                <w:szCs w:val="16"/>
              </w:rPr>
            </w:pPr>
          </w:p>
          <w:p w:rsidR="00541408" w:rsidRPr="007E244E" w:rsidRDefault="00DF5275" w:rsidP="000E56C7">
            <w:pPr>
              <w:pStyle w:val="Instructions"/>
              <w:numPr>
                <w:ilvl w:val="0"/>
                <w:numId w:val="3"/>
              </w:numPr>
              <w:jc w:val="both"/>
              <w:rPr>
                <w:color w:val="auto"/>
              </w:rPr>
            </w:pPr>
            <w:r w:rsidRPr="007E244E">
              <w:rPr>
                <w:b/>
                <w:i w:val="0"/>
                <w:color w:val="auto"/>
              </w:rPr>
              <w:t>Endorse the contents of this report</w:t>
            </w:r>
          </w:p>
          <w:p w:rsidR="00541408" w:rsidRPr="007E244E" w:rsidRDefault="00DF5275" w:rsidP="00DF5275">
            <w:pPr>
              <w:pStyle w:val="Instructions"/>
              <w:numPr>
                <w:ilvl w:val="0"/>
                <w:numId w:val="3"/>
              </w:numPr>
              <w:jc w:val="both"/>
              <w:rPr>
                <w:b/>
                <w:i w:val="0"/>
                <w:color w:val="auto"/>
                <w:szCs w:val="24"/>
              </w:rPr>
            </w:pPr>
            <w:r w:rsidRPr="007E244E">
              <w:rPr>
                <w:b/>
                <w:i w:val="0"/>
                <w:color w:val="auto"/>
              </w:rPr>
              <w:t>Approve the objectives for 201</w:t>
            </w:r>
            <w:r w:rsidR="00DE239D">
              <w:rPr>
                <w:b/>
                <w:i w:val="0"/>
                <w:color w:val="auto"/>
              </w:rPr>
              <w:t>4</w:t>
            </w:r>
            <w:r w:rsidR="00425D04">
              <w:rPr>
                <w:b/>
                <w:i w:val="0"/>
                <w:color w:val="auto"/>
              </w:rPr>
              <w:t xml:space="preserve"> </w:t>
            </w:r>
          </w:p>
          <w:p w:rsidR="007E244E" w:rsidRPr="007E244E" w:rsidRDefault="007E244E" w:rsidP="007E244E">
            <w:pPr>
              <w:pStyle w:val="Instructions"/>
              <w:ind w:left="720"/>
              <w:jc w:val="both"/>
              <w:rPr>
                <w:b/>
                <w:i w:val="0"/>
                <w:color w:val="auto"/>
                <w:sz w:val="16"/>
                <w:szCs w:val="16"/>
              </w:rPr>
            </w:pPr>
          </w:p>
        </w:tc>
      </w:tr>
      <w:tr w:rsidR="00541408" w:rsidRPr="000E56C7">
        <w:trPr>
          <w:cantSplit/>
          <w:trHeight w:val="1550"/>
        </w:trPr>
        <w:tc>
          <w:tcPr>
            <w:tcW w:w="10680" w:type="dxa"/>
            <w:gridSpan w:val="2"/>
          </w:tcPr>
          <w:p w:rsidR="00541408" w:rsidRPr="007E244E" w:rsidRDefault="00541408" w:rsidP="000E56C7">
            <w:pPr>
              <w:pStyle w:val="HeaderFooterTitles"/>
              <w:jc w:val="both"/>
              <w:rPr>
                <w:caps w:val="0"/>
              </w:rPr>
            </w:pPr>
            <w:r w:rsidRPr="007E244E">
              <w:rPr>
                <w:caps w:val="0"/>
              </w:rPr>
              <w:t>Resource Implications (e.g. Financial, HR)</w:t>
            </w:r>
          </w:p>
          <w:p w:rsidR="00541408" w:rsidRPr="007E244E" w:rsidRDefault="00541408" w:rsidP="000E56C7">
            <w:pPr>
              <w:pStyle w:val="HeaderFooterTitles"/>
              <w:jc w:val="both"/>
              <w:rPr>
                <w:caps w:val="0"/>
                <w:sz w:val="16"/>
                <w:szCs w:val="16"/>
              </w:rPr>
            </w:pPr>
          </w:p>
          <w:p w:rsidR="00541408" w:rsidRPr="007E244E" w:rsidRDefault="00C61AE6" w:rsidP="00C61AE6">
            <w:pPr>
              <w:pStyle w:val="HeaderFooterTitles"/>
              <w:numPr>
                <w:ilvl w:val="0"/>
                <w:numId w:val="7"/>
              </w:numPr>
              <w:jc w:val="both"/>
              <w:rPr>
                <w:b w:val="0"/>
                <w:i/>
                <w:sz w:val="16"/>
                <w:szCs w:val="16"/>
              </w:rPr>
            </w:pPr>
            <w:r>
              <w:rPr>
                <w:b w:val="0"/>
                <w:i/>
                <w:iCs/>
                <w:caps w:val="0"/>
              </w:rPr>
              <w:t>None</w:t>
            </w:r>
          </w:p>
        </w:tc>
      </w:tr>
      <w:tr w:rsidR="00541408" w:rsidRPr="000E56C7">
        <w:trPr>
          <w:cantSplit/>
        </w:trPr>
        <w:tc>
          <w:tcPr>
            <w:tcW w:w="10680" w:type="dxa"/>
            <w:gridSpan w:val="2"/>
          </w:tcPr>
          <w:p w:rsidR="00541408" w:rsidRPr="000E56C7" w:rsidRDefault="00541408" w:rsidP="000E56C7">
            <w:pPr>
              <w:pStyle w:val="HeaderFooterTitles"/>
              <w:jc w:val="both"/>
              <w:rPr>
                <w:caps w:val="0"/>
              </w:rPr>
            </w:pPr>
            <w:r w:rsidRPr="000E56C7">
              <w:rPr>
                <w:caps w:val="0"/>
              </w:rPr>
              <w:t>Assurance implications</w:t>
            </w:r>
          </w:p>
          <w:p w:rsidR="00541408" w:rsidRPr="000E56C7" w:rsidRDefault="00541408" w:rsidP="000E56C7">
            <w:pPr>
              <w:pStyle w:val="HeaderFooterTitles"/>
              <w:jc w:val="both"/>
              <w:rPr>
                <w:caps w:val="0"/>
              </w:rPr>
            </w:pPr>
          </w:p>
          <w:p w:rsidR="00541408" w:rsidRPr="00520765" w:rsidRDefault="00DF5275" w:rsidP="000E56C7">
            <w:pPr>
              <w:pStyle w:val="HeaderFooterTitles"/>
              <w:numPr>
                <w:ilvl w:val="0"/>
                <w:numId w:val="7"/>
              </w:numPr>
              <w:jc w:val="both"/>
              <w:rPr>
                <w:b w:val="0"/>
                <w:i/>
                <w:iCs/>
                <w:caps w:val="0"/>
              </w:rPr>
            </w:pPr>
            <w:r w:rsidRPr="00520765">
              <w:rPr>
                <w:b w:val="0"/>
                <w:i/>
                <w:iCs/>
                <w:caps w:val="0"/>
              </w:rPr>
              <w:t xml:space="preserve">Clear management is required in order to maintain and improve </w:t>
            </w:r>
            <w:r w:rsidR="00EB5BE8" w:rsidRPr="00520765">
              <w:rPr>
                <w:b w:val="0"/>
                <w:i/>
                <w:iCs/>
                <w:caps w:val="0"/>
              </w:rPr>
              <w:t>on current Trust status with regard to NHSLA and CQC</w:t>
            </w:r>
          </w:p>
          <w:p w:rsidR="00541408" w:rsidRPr="000E56C7" w:rsidRDefault="00EB5BE8" w:rsidP="00EB5BE8">
            <w:pPr>
              <w:pStyle w:val="HeaderFooterTitles"/>
              <w:numPr>
                <w:ilvl w:val="0"/>
                <w:numId w:val="7"/>
              </w:numPr>
              <w:jc w:val="both"/>
              <w:rPr>
                <w:b w:val="0"/>
                <w:i/>
                <w:szCs w:val="24"/>
              </w:rPr>
            </w:pPr>
            <w:r w:rsidRPr="00520765">
              <w:rPr>
                <w:b w:val="0"/>
                <w:i/>
                <w:iCs/>
                <w:caps w:val="0"/>
              </w:rPr>
              <w:t>Patient safety can only be maintained provided suitably skilled personnel are in post to ensure adequate monitoring, training, advice and supervis</w:t>
            </w:r>
            <w:r w:rsidR="008964DE">
              <w:rPr>
                <w:b w:val="0"/>
                <w:i/>
                <w:iCs/>
                <w:caps w:val="0"/>
              </w:rPr>
              <w:t>i</w:t>
            </w:r>
            <w:r w:rsidRPr="00520765">
              <w:rPr>
                <w:b w:val="0"/>
                <w:i/>
                <w:iCs/>
                <w:caps w:val="0"/>
              </w:rPr>
              <w:t>on are available to clinical personnel</w:t>
            </w:r>
            <w:r>
              <w:rPr>
                <w:b w:val="0"/>
                <w:i/>
                <w:iCs/>
                <w:caps w:val="0"/>
                <w:color w:val="0000FF"/>
              </w:rPr>
              <w:t xml:space="preserve">   </w:t>
            </w:r>
          </w:p>
        </w:tc>
      </w:tr>
      <w:tr w:rsidR="00541408" w:rsidRPr="000E56C7">
        <w:trPr>
          <w:cantSplit/>
        </w:trPr>
        <w:tc>
          <w:tcPr>
            <w:tcW w:w="10680" w:type="dxa"/>
            <w:gridSpan w:val="2"/>
          </w:tcPr>
          <w:p w:rsidR="00541408" w:rsidRPr="000E56C7" w:rsidRDefault="00541408" w:rsidP="000E56C7">
            <w:pPr>
              <w:pStyle w:val="Instructions"/>
              <w:jc w:val="both"/>
              <w:rPr>
                <w:b/>
                <w:i w:val="0"/>
                <w:color w:val="auto"/>
              </w:rPr>
            </w:pPr>
            <w:r w:rsidRPr="000E56C7">
              <w:rPr>
                <w:b/>
                <w:i w:val="0"/>
                <w:color w:val="auto"/>
              </w:rPr>
              <w:t>Information Exempt from Disclosure:</w:t>
            </w:r>
          </w:p>
          <w:p w:rsidR="00541408" w:rsidRPr="000E56C7" w:rsidRDefault="00541408" w:rsidP="000E56C7">
            <w:pPr>
              <w:pStyle w:val="Instructions"/>
              <w:jc w:val="both"/>
              <w:rPr>
                <w:b/>
                <w:i w:val="0"/>
                <w:color w:val="auto"/>
              </w:rPr>
            </w:pPr>
          </w:p>
          <w:p w:rsidR="00541408" w:rsidRPr="000E56C7" w:rsidRDefault="00EB5BE8" w:rsidP="00EB5BE8">
            <w:pPr>
              <w:pStyle w:val="Instructions"/>
              <w:numPr>
                <w:ilvl w:val="0"/>
                <w:numId w:val="7"/>
              </w:numPr>
              <w:jc w:val="both"/>
              <w:rPr>
                <w:b/>
                <w:i w:val="0"/>
                <w:color w:val="auto"/>
                <w:szCs w:val="24"/>
              </w:rPr>
            </w:pPr>
            <w:r>
              <w:rPr>
                <w:b/>
                <w:i w:val="0"/>
                <w:color w:val="auto"/>
                <w:szCs w:val="24"/>
              </w:rPr>
              <w:t>None of this information is exempt from disclosure</w:t>
            </w:r>
          </w:p>
        </w:tc>
      </w:tr>
    </w:tbl>
    <w:p w:rsidR="00007B87" w:rsidRDefault="007B3FE1" w:rsidP="00F94C43">
      <w:r>
        <w:t xml:space="preserve">                </w:t>
      </w:r>
    </w:p>
    <w:p w:rsidR="00AF692F" w:rsidRDefault="00AF692F" w:rsidP="00F94C43">
      <w:pPr>
        <w:rPr>
          <w:i/>
        </w:rPr>
        <w:sectPr w:rsidR="00AF692F" w:rsidSect="008679BF">
          <w:headerReference w:type="default" r:id="rId8"/>
          <w:footerReference w:type="even" r:id="rId9"/>
          <w:footerReference w:type="default" r:id="rId10"/>
          <w:pgSz w:w="11906" w:h="16838"/>
          <w:pgMar w:top="480" w:right="1418" w:bottom="1000" w:left="1418" w:header="720" w:footer="720" w:gutter="0"/>
          <w:cols w:space="720"/>
        </w:sectPr>
      </w:pPr>
    </w:p>
    <w:p w:rsidR="0015589A" w:rsidRPr="00886DD4" w:rsidRDefault="0015589A" w:rsidP="0015589A">
      <w:pPr>
        <w:rPr>
          <w:rFonts w:cs="Arial"/>
          <w:b/>
          <w:sz w:val="40"/>
          <w:szCs w:val="40"/>
        </w:rPr>
      </w:pPr>
      <w:r w:rsidRPr="00886DD4">
        <w:rPr>
          <w:rFonts w:cs="Arial"/>
          <w:b/>
          <w:sz w:val="40"/>
          <w:szCs w:val="40"/>
        </w:rPr>
        <w:lastRenderedPageBreak/>
        <w:t xml:space="preserve">MEDICAL DEVICES ANNUAL REPORT </w:t>
      </w:r>
      <w:r w:rsidR="00E05521">
        <w:rPr>
          <w:rFonts w:cs="Arial"/>
          <w:b/>
          <w:sz w:val="40"/>
          <w:szCs w:val="40"/>
        </w:rPr>
        <w:t>for</w:t>
      </w:r>
      <w:r w:rsidRPr="00886DD4">
        <w:rPr>
          <w:rFonts w:cs="Arial"/>
          <w:b/>
          <w:sz w:val="40"/>
          <w:szCs w:val="40"/>
        </w:rPr>
        <w:t xml:space="preserve"> 201</w:t>
      </w:r>
      <w:r w:rsidR="00DE239D">
        <w:rPr>
          <w:rFonts w:cs="Arial"/>
          <w:b/>
          <w:sz w:val="40"/>
          <w:szCs w:val="40"/>
        </w:rPr>
        <w:t>3</w:t>
      </w:r>
    </w:p>
    <w:p w:rsidR="0015589A" w:rsidRDefault="0015589A" w:rsidP="0015589A">
      <w:pPr>
        <w:rPr>
          <w:rFonts w:cs="Arial"/>
          <w:b/>
        </w:rPr>
      </w:pPr>
    </w:p>
    <w:p w:rsidR="00312A19" w:rsidRDefault="00312A19" w:rsidP="0015589A">
      <w:pPr>
        <w:rPr>
          <w:rFonts w:cs="Arial"/>
          <w:b/>
        </w:rPr>
      </w:pPr>
    </w:p>
    <w:p w:rsidR="0015589A" w:rsidRPr="00312A19" w:rsidRDefault="0015589A" w:rsidP="0015589A">
      <w:pPr>
        <w:rPr>
          <w:rFonts w:cs="Arial"/>
          <w:b/>
          <w:sz w:val="20"/>
        </w:rPr>
      </w:pPr>
      <w:r w:rsidRPr="00312A19">
        <w:rPr>
          <w:rFonts w:cs="Arial"/>
          <w:b/>
          <w:sz w:val="40"/>
          <w:szCs w:val="40"/>
        </w:rPr>
        <w:t>Medical Devices Committee</w:t>
      </w:r>
    </w:p>
    <w:p w:rsidR="00601F1F" w:rsidRDefault="00601F1F" w:rsidP="0015589A">
      <w:pPr>
        <w:rPr>
          <w:rFonts w:cs="Arial"/>
          <w:b/>
          <w:sz w:val="20"/>
        </w:rPr>
      </w:pPr>
    </w:p>
    <w:p w:rsidR="00312A19" w:rsidRDefault="00312A19" w:rsidP="0015589A">
      <w:pPr>
        <w:rPr>
          <w:rFonts w:cs="Arial"/>
          <w:b/>
          <w:sz w:val="20"/>
        </w:rPr>
      </w:pPr>
    </w:p>
    <w:p w:rsidR="0015589A" w:rsidRDefault="0015589A" w:rsidP="0015589A">
      <w:pPr>
        <w:rPr>
          <w:rFonts w:cs="Arial"/>
          <w:b/>
        </w:rPr>
      </w:pPr>
      <w:r>
        <w:rPr>
          <w:rFonts w:cs="Arial"/>
          <w:b/>
        </w:rPr>
        <w:t>Contents</w:t>
      </w:r>
    </w:p>
    <w:p w:rsidR="0015589A" w:rsidRDefault="0015589A" w:rsidP="0015589A">
      <w:pPr>
        <w:rPr>
          <w:rFonts w:cs="Arial"/>
          <w:b/>
        </w:rPr>
      </w:pPr>
    </w:p>
    <w:p w:rsidR="0015589A" w:rsidRPr="00312A19" w:rsidRDefault="0015589A" w:rsidP="0015589A">
      <w:pPr>
        <w:numPr>
          <w:ilvl w:val="0"/>
          <w:numId w:val="15"/>
        </w:numPr>
        <w:rPr>
          <w:rFonts w:cs="Arial"/>
          <w:szCs w:val="24"/>
        </w:rPr>
      </w:pPr>
      <w:r w:rsidRPr="00312A19">
        <w:rPr>
          <w:rFonts w:cs="Arial"/>
          <w:szCs w:val="24"/>
        </w:rPr>
        <w:t>Introduction</w:t>
      </w:r>
    </w:p>
    <w:p w:rsidR="0015589A" w:rsidRPr="00312A19" w:rsidRDefault="0015589A" w:rsidP="0015589A">
      <w:pPr>
        <w:numPr>
          <w:ilvl w:val="0"/>
          <w:numId w:val="15"/>
        </w:numPr>
        <w:rPr>
          <w:rFonts w:cs="Arial"/>
          <w:szCs w:val="24"/>
        </w:rPr>
      </w:pPr>
      <w:r w:rsidRPr="00312A19">
        <w:rPr>
          <w:rFonts w:cs="Arial"/>
          <w:szCs w:val="24"/>
        </w:rPr>
        <w:t>Management arrangements for medical devices</w:t>
      </w:r>
    </w:p>
    <w:p w:rsidR="0015589A" w:rsidRPr="00312A19" w:rsidRDefault="0015589A" w:rsidP="0015589A">
      <w:pPr>
        <w:numPr>
          <w:ilvl w:val="0"/>
          <w:numId w:val="15"/>
        </w:numPr>
        <w:rPr>
          <w:rFonts w:cs="Arial"/>
          <w:szCs w:val="24"/>
        </w:rPr>
      </w:pPr>
      <w:r w:rsidRPr="00312A19">
        <w:rPr>
          <w:rFonts w:cs="Arial"/>
          <w:szCs w:val="24"/>
        </w:rPr>
        <w:t xml:space="preserve">Medical Devices Project </w:t>
      </w:r>
    </w:p>
    <w:p w:rsidR="0015589A" w:rsidRPr="00312A19" w:rsidRDefault="0015589A" w:rsidP="0015589A">
      <w:pPr>
        <w:numPr>
          <w:ilvl w:val="0"/>
          <w:numId w:val="15"/>
        </w:numPr>
        <w:rPr>
          <w:rFonts w:cs="Arial"/>
          <w:szCs w:val="24"/>
        </w:rPr>
      </w:pPr>
      <w:r w:rsidRPr="00312A19">
        <w:rPr>
          <w:rFonts w:cs="Arial"/>
          <w:szCs w:val="24"/>
        </w:rPr>
        <w:t xml:space="preserve">Procurement of </w:t>
      </w:r>
      <w:r w:rsidR="00601F1F" w:rsidRPr="00312A19">
        <w:rPr>
          <w:rFonts w:cs="Arial"/>
          <w:szCs w:val="24"/>
        </w:rPr>
        <w:t>m</w:t>
      </w:r>
      <w:r w:rsidRPr="00312A19">
        <w:rPr>
          <w:rFonts w:cs="Arial"/>
          <w:szCs w:val="24"/>
        </w:rPr>
        <w:t xml:space="preserve">edical </w:t>
      </w:r>
      <w:r w:rsidR="00601F1F" w:rsidRPr="00312A19">
        <w:rPr>
          <w:rFonts w:cs="Arial"/>
          <w:szCs w:val="24"/>
        </w:rPr>
        <w:t>d</w:t>
      </w:r>
      <w:r w:rsidRPr="00312A19">
        <w:rPr>
          <w:rFonts w:cs="Arial"/>
          <w:szCs w:val="24"/>
        </w:rPr>
        <w:t xml:space="preserve">evices </w:t>
      </w:r>
    </w:p>
    <w:p w:rsidR="0015589A" w:rsidRPr="00312A19" w:rsidRDefault="0015589A" w:rsidP="0015589A">
      <w:pPr>
        <w:numPr>
          <w:ilvl w:val="0"/>
          <w:numId w:val="15"/>
        </w:numPr>
        <w:rPr>
          <w:rFonts w:cs="Arial"/>
          <w:szCs w:val="24"/>
        </w:rPr>
      </w:pPr>
      <w:r w:rsidRPr="00312A19">
        <w:rPr>
          <w:rFonts w:cs="Arial"/>
          <w:szCs w:val="24"/>
        </w:rPr>
        <w:t>Decontamination of reusable medical devices</w:t>
      </w:r>
    </w:p>
    <w:p w:rsidR="0015589A" w:rsidRPr="00312A19" w:rsidRDefault="0015589A" w:rsidP="0015589A">
      <w:pPr>
        <w:numPr>
          <w:ilvl w:val="0"/>
          <w:numId w:val="15"/>
        </w:numPr>
        <w:rPr>
          <w:rFonts w:cs="Arial"/>
          <w:szCs w:val="24"/>
        </w:rPr>
      </w:pPr>
      <w:r w:rsidRPr="00312A19">
        <w:rPr>
          <w:rFonts w:cs="Arial"/>
          <w:szCs w:val="24"/>
        </w:rPr>
        <w:t>Point of Care Testing devices</w:t>
      </w:r>
    </w:p>
    <w:p w:rsidR="0015589A" w:rsidRPr="00312A19" w:rsidRDefault="0015589A" w:rsidP="0015589A">
      <w:pPr>
        <w:numPr>
          <w:ilvl w:val="0"/>
          <w:numId w:val="15"/>
        </w:numPr>
        <w:rPr>
          <w:rFonts w:cs="Arial"/>
          <w:szCs w:val="24"/>
        </w:rPr>
      </w:pPr>
      <w:r w:rsidRPr="00312A19">
        <w:rPr>
          <w:rFonts w:cs="Arial"/>
          <w:szCs w:val="24"/>
        </w:rPr>
        <w:t xml:space="preserve">Medical </w:t>
      </w:r>
      <w:r w:rsidR="00601F1F" w:rsidRPr="00312A19">
        <w:rPr>
          <w:rFonts w:cs="Arial"/>
          <w:szCs w:val="24"/>
        </w:rPr>
        <w:t>d</w:t>
      </w:r>
      <w:r w:rsidRPr="00312A19">
        <w:rPr>
          <w:rFonts w:cs="Arial"/>
          <w:szCs w:val="24"/>
        </w:rPr>
        <w:t xml:space="preserve">evice </w:t>
      </w:r>
      <w:r w:rsidR="00601F1F" w:rsidRPr="00312A19">
        <w:rPr>
          <w:rFonts w:cs="Arial"/>
          <w:szCs w:val="24"/>
        </w:rPr>
        <w:t>t</w:t>
      </w:r>
      <w:r w:rsidRPr="00312A19">
        <w:rPr>
          <w:rFonts w:cs="Arial"/>
          <w:szCs w:val="24"/>
        </w:rPr>
        <w:t>raining</w:t>
      </w:r>
    </w:p>
    <w:p w:rsidR="0015589A" w:rsidRPr="00312A19" w:rsidRDefault="0015589A" w:rsidP="0015589A">
      <w:pPr>
        <w:numPr>
          <w:ilvl w:val="0"/>
          <w:numId w:val="15"/>
        </w:numPr>
        <w:rPr>
          <w:rFonts w:cs="Arial"/>
          <w:szCs w:val="24"/>
        </w:rPr>
      </w:pPr>
      <w:r w:rsidRPr="00312A19">
        <w:rPr>
          <w:rFonts w:cs="Arial"/>
          <w:szCs w:val="24"/>
        </w:rPr>
        <w:t>Maintenance, repair and loans of medical devices</w:t>
      </w:r>
    </w:p>
    <w:p w:rsidR="0015589A" w:rsidRPr="00312A19" w:rsidRDefault="0015589A" w:rsidP="0015589A">
      <w:pPr>
        <w:numPr>
          <w:ilvl w:val="0"/>
          <w:numId w:val="15"/>
        </w:numPr>
        <w:rPr>
          <w:rFonts w:cs="Arial"/>
          <w:szCs w:val="24"/>
        </w:rPr>
      </w:pPr>
      <w:r w:rsidRPr="00312A19">
        <w:rPr>
          <w:rFonts w:cs="Arial"/>
          <w:szCs w:val="24"/>
        </w:rPr>
        <w:t>Safety alerts</w:t>
      </w:r>
    </w:p>
    <w:p w:rsidR="0015589A" w:rsidRPr="00312A19" w:rsidRDefault="0015589A" w:rsidP="0015589A">
      <w:pPr>
        <w:numPr>
          <w:ilvl w:val="0"/>
          <w:numId w:val="15"/>
        </w:numPr>
        <w:rPr>
          <w:rFonts w:cs="Arial"/>
          <w:szCs w:val="24"/>
        </w:rPr>
      </w:pPr>
      <w:r w:rsidRPr="00312A19">
        <w:rPr>
          <w:rFonts w:cs="Arial"/>
          <w:szCs w:val="24"/>
        </w:rPr>
        <w:t xml:space="preserve"> Adverse incidents involving medical devices</w:t>
      </w:r>
    </w:p>
    <w:p w:rsidR="00312A19" w:rsidRPr="00D53E91" w:rsidRDefault="0015589A" w:rsidP="0015589A">
      <w:pPr>
        <w:numPr>
          <w:ilvl w:val="0"/>
          <w:numId w:val="15"/>
        </w:numPr>
        <w:rPr>
          <w:rFonts w:cs="Arial"/>
          <w:b/>
          <w:sz w:val="20"/>
        </w:rPr>
      </w:pPr>
      <w:r w:rsidRPr="00D53E91">
        <w:rPr>
          <w:rFonts w:cs="Arial"/>
          <w:szCs w:val="24"/>
        </w:rPr>
        <w:t xml:space="preserve">Medical </w:t>
      </w:r>
      <w:r w:rsidR="00601F1F" w:rsidRPr="00D53E91">
        <w:rPr>
          <w:rFonts w:cs="Arial"/>
          <w:szCs w:val="24"/>
        </w:rPr>
        <w:t>D</w:t>
      </w:r>
      <w:r w:rsidRPr="00D53E91">
        <w:rPr>
          <w:rFonts w:cs="Arial"/>
          <w:szCs w:val="24"/>
        </w:rPr>
        <w:t>evices</w:t>
      </w:r>
      <w:r w:rsidR="00601F1F" w:rsidRPr="00D53E91">
        <w:rPr>
          <w:rFonts w:cs="Arial"/>
          <w:szCs w:val="24"/>
        </w:rPr>
        <w:t xml:space="preserve"> Committee</w:t>
      </w:r>
      <w:r w:rsidRPr="00D53E91">
        <w:rPr>
          <w:rFonts w:cs="Arial"/>
          <w:szCs w:val="24"/>
        </w:rPr>
        <w:t xml:space="preserve"> </w:t>
      </w:r>
      <w:r w:rsidR="001809DB" w:rsidRPr="00D53E91">
        <w:rPr>
          <w:rFonts w:cs="Arial"/>
          <w:szCs w:val="24"/>
        </w:rPr>
        <w:t>o</w:t>
      </w:r>
      <w:r w:rsidRPr="00D53E91">
        <w:rPr>
          <w:rFonts w:cs="Arial"/>
          <w:szCs w:val="24"/>
        </w:rPr>
        <w:t xml:space="preserve">bjectives </w:t>
      </w:r>
    </w:p>
    <w:p w:rsidR="00E368B2" w:rsidRPr="00312A19" w:rsidRDefault="00E368B2" w:rsidP="0015589A">
      <w:pPr>
        <w:rPr>
          <w:rFonts w:cs="Arial"/>
          <w:b/>
          <w:sz w:val="20"/>
        </w:rPr>
      </w:pPr>
    </w:p>
    <w:p w:rsidR="00601F1F" w:rsidRPr="00312A19" w:rsidRDefault="00601F1F" w:rsidP="0015589A">
      <w:pPr>
        <w:rPr>
          <w:rFonts w:cs="Arial"/>
          <w:b/>
          <w:sz w:val="20"/>
        </w:rPr>
      </w:pPr>
    </w:p>
    <w:p w:rsidR="0015589A" w:rsidRPr="00F50BB2" w:rsidRDefault="0015589A" w:rsidP="0015589A">
      <w:pPr>
        <w:rPr>
          <w:rFonts w:cs="Arial"/>
          <w:b/>
        </w:rPr>
      </w:pPr>
      <w:r>
        <w:rPr>
          <w:rFonts w:cs="Arial"/>
          <w:b/>
        </w:rPr>
        <w:t>1.</w:t>
      </w:r>
      <w:r>
        <w:rPr>
          <w:rFonts w:cs="Arial"/>
          <w:b/>
        </w:rPr>
        <w:tab/>
      </w:r>
      <w:r w:rsidRPr="00F50BB2">
        <w:rPr>
          <w:rFonts w:cs="Arial"/>
          <w:b/>
        </w:rPr>
        <w:t>Introduction</w:t>
      </w:r>
    </w:p>
    <w:p w:rsidR="0015589A" w:rsidRDefault="0015589A" w:rsidP="0015589A">
      <w:pPr>
        <w:rPr>
          <w:rFonts w:cs="Arial"/>
        </w:rPr>
      </w:pPr>
    </w:p>
    <w:p w:rsidR="00312A19" w:rsidRDefault="0015589A" w:rsidP="00D53E91">
      <w:pPr>
        <w:jc w:val="both"/>
        <w:rPr>
          <w:rFonts w:cs="Arial"/>
          <w:sz w:val="20"/>
        </w:rPr>
      </w:pPr>
      <w:r w:rsidRPr="00312A19">
        <w:rPr>
          <w:rFonts w:cs="Arial"/>
          <w:sz w:val="20"/>
        </w:rPr>
        <w:t>This is the annual report of the Medical Devices Committee on the management of medical devices in the Trust. The provision of such a report is consistent with the management arrangements for medical devices described in the MHRA guidance DB2006 (05) and the Care Quality Commission (CQC) Standards in relation to Medical Devices, (section 20, Outcome 11, regulation 16 of Health &amp; Social Care Act 2008).</w:t>
      </w:r>
    </w:p>
    <w:p w:rsidR="001809DB" w:rsidRPr="00312A19" w:rsidRDefault="001809DB" w:rsidP="00D53E91">
      <w:pPr>
        <w:jc w:val="both"/>
        <w:rPr>
          <w:rFonts w:cs="Arial"/>
          <w:sz w:val="20"/>
        </w:rPr>
      </w:pPr>
    </w:p>
    <w:p w:rsidR="0015589A" w:rsidRDefault="0015589A" w:rsidP="00D53E91">
      <w:pPr>
        <w:jc w:val="both"/>
        <w:rPr>
          <w:rFonts w:cs="Arial"/>
          <w:b/>
        </w:rPr>
      </w:pPr>
      <w:r>
        <w:rPr>
          <w:rFonts w:cs="Arial"/>
          <w:b/>
        </w:rPr>
        <w:t>2.</w:t>
      </w:r>
      <w:r>
        <w:rPr>
          <w:rFonts w:cs="Arial"/>
          <w:b/>
        </w:rPr>
        <w:tab/>
      </w:r>
      <w:r w:rsidRPr="002638E2">
        <w:rPr>
          <w:rFonts w:cs="Arial"/>
          <w:b/>
        </w:rPr>
        <w:t xml:space="preserve">Management </w:t>
      </w:r>
      <w:r>
        <w:rPr>
          <w:rFonts w:cs="Arial"/>
          <w:b/>
        </w:rPr>
        <w:t>A</w:t>
      </w:r>
      <w:r w:rsidRPr="002638E2">
        <w:rPr>
          <w:rFonts w:cs="Arial"/>
          <w:b/>
        </w:rPr>
        <w:t xml:space="preserve">rrangements for </w:t>
      </w:r>
      <w:r>
        <w:rPr>
          <w:rFonts w:cs="Arial"/>
          <w:b/>
        </w:rPr>
        <w:t>M</w:t>
      </w:r>
      <w:r w:rsidRPr="002638E2">
        <w:rPr>
          <w:rFonts w:cs="Arial"/>
          <w:b/>
        </w:rPr>
        <w:t xml:space="preserve">edical </w:t>
      </w:r>
      <w:r>
        <w:rPr>
          <w:rFonts w:cs="Arial"/>
          <w:b/>
        </w:rPr>
        <w:t>D</w:t>
      </w:r>
      <w:r w:rsidRPr="002638E2">
        <w:rPr>
          <w:rFonts w:cs="Arial"/>
          <w:b/>
        </w:rPr>
        <w:t>evices</w:t>
      </w:r>
    </w:p>
    <w:p w:rsidR="0015589A" w:rsidRPr="00312A19" w:rsidRDefault="0015589A" w:rsidP="00D53E91">
      <w:pPr>
        <w:ind w:left="240"/>
        <w:jc w:val="both"/>
        <w:rPr>
          <w:rFonts w:cs="Arial"/>
          <w:sz w:val="20"/>
        </w:rPr>
      </w:pPr>
    </w:p>
    <w:p w:rsidR="0015589A" w:rsidRPr="00312A19" w:rsidRDefault="0015589A" w:rsidP="00D53E91">
      <w:pPr>
        <w:jc w:val="both"/>
        <w:rPr>
          <w:rFonts w:cs="Arial"/>
          <w:sz w:val="20"/>
        </w:rPr>
      </w:pPr>
      <w:r w:rsidRPr="00312A19">
        <w:rPr>
          <w:rFonts w:cs="Arial"/>
          <w:sz w:val="20"/>
        </w:rPr>
        <w:t xml:space="preserve">The trust's arrangements for the management of medical devices are described in two documents, the Medical Devices Policy and Medical Device Procedures. They cover all aspects of medical device management from acquisition, training and maintenance to final disposal. Both documents </w:t>
      </w:r>
      <w:r w:rsidR="00425D04" w:rsidRPr="00312A19">
        <w:rPr>
          <w:rFonts w:cs="Arial"/>
          <w:sz w:val="20"/>
        </w:rPr>
        <w:t>have been updated during 201</w:t>
      </w:r>
      <w:r w:rsidR="00DE239D">
        <w:rPr>
          <w:rFonts w:cs="Arial"/>
          <w:sz w:val="20"/>
        </w:rPr>
        <w:t>3</w:t>
      </w:r>
      <w:r w:rsidR="00425D04" w:rsidRPr="00312A19">
        <w:rPr>
          <w:rFonts w:cs="Arial"/>
          <w:sz w:val="20"/>
        </w:rPr>
        <w:t xml:space="preserve">. These will continue to be </w:t>
      </w:r>
      <w:r w:rsidRPr="00312A19">
        <w:rPr>
          <w:rFonts w:cs="Arial"/>
          <w:sz w:val="20"/>
        </w:rPr>
        <w:t xml:space="preserve">regularly reviewed and revised if necessary to meet the most recent guidelines and legislation. The trust also has a separate document, Policy and Procedure for the Introduction and Management of Point of Care Testing Schemes and a Decontamination Policy. </w:t>
      </w:r>
    </w:p>
    <w:p w:rsidR="0015589A" w:rsidRPr="00312A19" w:rsidRDefault="0015589A" w:rsidP="00D53E91">
      <w:pPr>
        <w:jc w:val="both"/>
        <w:rPr>
          <w:rFonts w:cs="Arial"/>
          <w:sz w:val="20"/>
        </w:rPr>
      </w:pPr>
    </w:p>
    <w:p w:rsidR="0015589A" w:rsidRPr="00312A19" w:rsidRDefault="0015589A" w:rsidP="00D53E91">
      <w:pPr>
        <w:pStyle w:val="BodyText"/>
        <w:rPr>
          <w:color w:val="000000"/>
          <w:sz w:val="20"/>
          <w:szCs w:val="20"/>
        </w:rPr>
      </w:pPr>
      <w:r w:rsidRPr="00312A19">
        <w:rPr>
          <w:color w:val="000000"/>
          <w:sz w:val="20"/>
          <w:szCs w:val="20"/>
        </w:rPr>
        <w:t xml:space="preserve">Management of medical devices has been provided for within the directorate of Clinical Compliance which is under the operational management of </w:t>
      </w:r>
      <w:r w:rsidR="00707A23" w:rsidRPr="00312A19">
        <w:rPr>
          <w:color w:val="000000"/>
          <w:sz w:val="20"/>
          <w:szCs w:val="20"/>
        </w:rPr>
        <w:t>Clinical Support Services Division following the Trust Operational restructure in 2012.</w:t>
      </w:r>
      <w:r w:rsidRPr="00312A19">
        <w:rPr>
          <w:color w:val="000000"/>
          <w:sz w:val="20"/>
          <w:szCs w:val="20"/>
        </w:rPr>
        <w:t xml:space="preserve"> The Medical Devices and Decontamination Manager is the operational lead and is supported by a Medical Devices &amp; Decontamination Coordinator.</w:t>
      </w:r>
    </w:p>
    <w:p w:rsidR="0015589A" w:rsidRPr="00312A19" w:rsidRDefault="0015589A" w:rsidP="00D53E91">
      <w:pPr>
        <w:pStyle w:val="BodyText"/>
        <w:rPr>
          <w:color w:val="000000"/>
          <w:sz w:val="20"/>
          <w:szCs w:val="20"/>
        </w:rPr>
      </w:pPr>
    </w:p>
    <w:p w:rsidR="00A67A6F" w:rsidRPr="00312A19" w:rsidRDefault="0015589A" w:rsidP="00D53E91">
      <w:pPr>
        <w:jc w:val="both"/>
        <w:rPr>
          <w:rFonts w:cs="Arial"/>
          <w:color w:val="000000"/>
          <w:sz w:val="20"/>
          <w:u w:val="single"/>
        </w:rPr>
      </w:pPr>
      <w:r w:rsidRPr="00312A19">
        <w:rPr>
          <w:rFonts w:cs="Arial"/>
          <w:sz w:val="20"/>
        </w:rPr>
        <w:t xml:space="preserve">The Medical Devices Committee provides a forum to discuss and approve operational procedures regarding medical devices. Its </w:t>
      </w:r>
      <w:r w:rsidRPr="00312A19">
        <w:rPr>
          <w:rFonts w:cs="Arial"/>
          <w:color w:val="000000"/>
          <w:sz w:val="20"/>
        </w:rPr>
        <w:t xml:space="preserve">overall aims are: to provide assurance to the Trust that there are systems in place to meet its responsibility to minimise the risks associated with the safe and effective acquisition and use of medical devices; to ensure that medical devices management in the Trust complies with relevant regulatory standards, legislation and guidance; to deliver structure, process, outcome and assurance for aspects of medical devices, as defined by the MHRA. </w:t>
      </w:r>
      <w:r w:rsidR="00A67A6F" w:rsidRPr="00312A19">
        <w:rPr>
          <w:rFonts w:cs="Arial"/>
          <w:color w:val="000000"/>
          <w:sz w:val="20"/>
        </w:rPr>
        <w:t xml:space="preserve">An organisational structure chart showing accountability and reporting routes for the Medical Devices Committee </w:t>
      </w:r>
      <w:r w:rsidR="00A67A6F">
        <w:rPr>
          <w:rFonts w:cs="Arial"/>
          <w:color w:val="000000"/>
          <w:sz w:val="20"/>
        </w:rPr>
        <w:t xml:space="preserve">and its three sub committees </w:t>
      </w:r>
      <w:r w:rsidR="00A67A6F" w:rsidRPr="00312A19">
        <w:rPr>
          <w:rFonts w:cs="Arial"/>
          <w:color w:val="000000"/>
          <w:sz w:val="20"/>
        </w:rPr>
        <w:t>is attached</w:t>
      </w:r>
      <w:r w:rsidR="00E368B2">
        <w:rPr>
          <w:rFonts w:cs="Arial"/>
          <w:color w:val="000000"/>
          <w:sz w:val="20"/>
        </w:rPr>
        <w:t>.</w:t>
      </w:r>
      <w:r w:rsidR="00E368B2" w:rsidRPr="00312A19">
        <w:rPr>
          <w:rFonts w:cs="Arial"/>
          <w:color w:val="000000"/>
          <w:sz w:val="20"/>
        </w:rPr>
        <w:t xml:space="preserve"> (</w:t>
      </w:r>
      <w:r w:rsidR="00A67A6F" w:rsidRPr="00312A19">
        <w:rPr>
          <w:rFonts w:cs="Arial"/>
          <w:color w:val="000000"/>
          <w:sz w:val="20"/>
          <w:u w:val="single"/>
        </w:rPr>
        <w:t xml:space="preserve">Attachment </w:t>
      </w:r>
      <w:r w:rsidR="00AD3F4A">
        <w:rPr>
          <w:rFonts w:cs="Arial"/>
          <w:color w:val="000000"/>
          <w:sz w:val="20"/>
          <w:u w:val="single"/>
        </w:rPr>
        <w:t>1</w:t>
      </w:r>
      <w:r w:rsidR="00A67A6F" w:rsidRPr="00312A19">
        <w:rPr>
          <w:rFonts w:cs="Arial"/>
          <w:color w:val="000000"/>
          <w:sz w:val="20"/>
          <w:u w:val="single"/>
        </w:rPr>
        <w:t xml:space="preserve">). </w:t>
      </w:r>
    </w:p>
    <w:p w:rsidR="0015589A" w:rsidRDefault="0015589A" w:rsidP="00D53E91">
      <w:pPr>
        <w:jc w:val="both"/>
        <w:rPr>
          <w:rFonts w:cs="Arial"/>
          <w:color w:val="000000"/>
          <w:sz w:val="20"/>
        </w:rPr>
      </w:pPr>
    </w:p>
    <w:p w:rsidR="0015589A" w:rsidRPr="00312A19" w:rsidRDefault="0015589A" w:rsidP="00D53E91">
      <w:pPr>
        <w:pStyle w:val="BodyText2"/>
        <w:spacing w:after="0" w:line="240" w:lineRule="auto"/>
        <w:jc w:val="both"/>
        <w:rPr>
          <w:sz w:val="20"/>
          <w:szCs w:val="20"/>
        </w:rPr>
      </w:pPr>
      <w:r w:rsidRPr="00312A19">
        <w:rPr>
          <w:rFonts w:cs="Arial"/>
          <w:sz w:val="20"/>
          <w:szCs w:val="20"/>
        </w:rPr>
        <w:t xml:space="preserve">The Medical Devices Committee membership includes representation from medical, nursing, scientific, technical, training, procurement and governance staff, and is currently chaired by the </w:t>
      </w:r>
      <w:r w:rsidR="00707A23" w:rsidRPr="00312A19">
        <w:rPr>
          <w:rFonts w:cs="Arial"/>
          <w:sz w:val="20"/>
          <w:szCs w:val="20"/>
        </w:rPr>
        <w:t xml:space="preserve">Associate Medical Director for Clinical Support Services. </w:t>
      </w:r>
      <w:r w:rsidRPr="00312A19">
        <w:rPr>
          <w:sz w:val="20"/>
          <w:szCs w:val="20"/>
        </w:rPr>
        <w:t xml:space="preserve">Three </w:t>
      </w:r>
      <w:r w:rsidRPr="00312A19">
        <w:rPr>
          <w:rFonts w:cs="Arial"/>
          <w:sz w:val="20"/>
          <w:szCs w:val="20"/>
        </w:rPr>
        <w:t xml:space="preserve">Sub-groups provide regular reports </w:t>
      </w:r>
      <w:r w:rsidRPr="00312A19">
        <w:rPr>
          <w:sz w:val="20"/>
          <w:szCs w:val="20"/>
        </w:rPr>
        <w:t xml:space="preserve">and are directly accountable to the Medical Devices Committee. </w:t>
      </w:r>
    </w:p>
    <w:p w:rsidR="0015589A" w:rsidRPr="00312A19" w:rsidRDefault="0015589A" w:rsidP="00D53E91">
      <w:pPr>
        <w:pStyle w:val="BodyText2"/>
        <w:spacing w:after="0" w:line="240" w:lineRule="auto"/>
        <w:ind w:left="600"/>
        <w:jc w:val="both"/>
        <w:rPr>
          <w:sz w:val="20"/>
          <w:szCs w:val="20"/>
        </w:rPr>
      </w:pPr>
    </w:p>
    <w:p w:rsidR="0015589A" w:rsidRPr="00312A19" w:rsidRDefault="0015589A" w:rsidP="00D53E91">
      <w:pPr>
        <w:pStyle w:val="BodyText2"/>
        <w:spacing w:after="0" w:line="240" w:lineRule="auto"/>
        <w:jc w:val="both"/>
        <w:rPr>
          <w:sz w:val="20"/>
          <w:szCs w:val="20"/>
        </w:rPr>
      </w:pPr>
      <w:r w:rsidRPr="00312A19">
        <w:rPr>
          <w:sz w:val="20"/>
          <w:szCs w:val="20"/>
        </w:rPr>
        <w:t>These are:-</w:t>
      </w:r>
    </w:p>
    <w:p w:rsidR="0015589A" w:rsidRPr="00312A19" w:rsidRDefault="0015589A" w:rsidP="00D53E91">
      <w:pPr>
        <w:pStyle w:val="BodyText2"/>
        <w:spacing w:after="0" w:line="240" w:lineRule="auto"/>
        <w:ind w:left="960"/>
        <w:jc w:val="both"/>
        <w:rPr>
          <w:sz w:val="20"/>
          <w:szCs w:val="20"/>
        </w:rPr>
      </w:pPr>
    </w:p>
    <w:p w:rsidR="0015589A" w:rsidRPr="00312A19" w:rsidRDefault="0015589A" w:rsidP="00D53E91">
      <w:pPr>
        <w:pStyle w:val="BodyText2"/>
        <w:numPr>
          <w:ilvl w:val="0"/>
          <w:numId w:val="12"/>
        </w:numPr>
        <w:tabs>
          <w:tab w:val="clear" w:pos="1080"/>
          <w:tab w:val="num" w:pos="960"/>
        </w:tabs>
        <w:spacing w:after="0" w:line="240" w:lineRule="auto"/>
        <w:ind w:left="960"/>
        <w:jc w:val="both"/>
        <w:rPr>
          <w:sz w:val="20"/>
          <w:szCs w:val="20"/>
        </w:rPr>
      </w:pPr>
      <w:r w:rsidRPr="00312A19">
        <w:rPr>
          <w:sz w:val="20"/>
          <w:szCs w:val="20"/>
        </w:rPr>
        <w:lastRenderedPageBreak/>
        <w:t>Decontamination sub-Committee</w:t>
      </w:r>
    </w:p>
    <w:p w:rsidR="0015589A" w:rsidRPr="00312A19" w:rsidRDefault="0015589A" w:rsidP="00D53E91">
      <w:pPr>
        <w:pStyle w:val="BodyText2"/>
        <w:numPr>
          <w:ilvl w:val="0"/>
          <w:numId w:val="12"/>
        </w:numPr>
        <w:tabs>
          <w:tab w:val="clear" w:pos="1080"/>
          <w:tab w:val="num" w:pos="960"/>
        </w:tabs>
        <w:spacing w:after="0" w:line="240" w:lineRule="auto"/>
        <w:ind w:left="960"/>
        <w:jc w:val="both"/>
        <w:rPr>
          <w:sz w:val="20"/>
          <w:szCs w:val="20"/>
        </w:rPr>
      </w:pPr>
      <w:r w:rsidRPr="00312A19">
        <w:rPr>
          <w:sz w:val="20"/>
          <w:szCs w:val="20"/>
        </w:rPr>
        <w:t>Point of Care Testing sub-Committee</w:t>
      </w:r>
    </w:p>
    <w:p w:rsidR="0015589A" w:rsidRPr="00312A19" w:rsidRDefault="0015589A" w:rsidP="00D53E91">
      <w:pPr>
        <w:pStyle w:val="BodyText2"/>
        <w:numPr>
          <w:ilvl w:val="0"/>
          <w:numId w:val="12"/>
        </w:numPr>
        <w:tabs>
          <w:tab w:val="clear" w:pos="1080"/>
          <w:tab w:val="num" w:pos="785"/>
          <w:tab w:val="num" w:pos="1680"/>
        </w:tabs>
        <w:spacing w:after="0" w:line="240" w:lineRule="auto"/>
        <w:ind w:left="960"/>
        <w:jc w:val="both"/>
        <w:rPr>
          <w:sz w:val="20"/>
          <w:szCs w:val="20"/>
        </w:rPr>
      </w:pPr>
      <w:r w:rsidRPr="00312A19">
        <w:rPr>
          <w:sz w:val="20"/>
          <w:szCs w:val="20"/>
        </w:rPr>
        <w:t xml:space="preserve">   </w:t>
      </w:r>
      <w:r w:rsidR="00601F1F" w:rsidRPr="00312A19">
        <w:rPr>
          <w:sz w:val="20"/>
          <w:szCs w:val="20"/>
        </w:rPr>
        <w:t xml:space="preserve">Medical Device </w:t>
      </w:r>
      <w:r w:rsidRPr="00312A19">
        <w:rPr>
          <w:sz w:val="20"/>
          <w:szCs w:val="20"/>
        </w:rPr>
        <w:t>Training sub-Committee</w:t>
      </w:r>
    </w:p>
    <w:p w:rsidR="0015589A" w:rsidRPr="00312A19" w:rsidRDefault="0015589A" w:rsidP="00D53E91">
      <w:pPr>
        <w:pStyle w:val="BodyText2"/>
        <w:tabs>
          <w:tab w:val="num" w:pos="1505"/>
        </w:tabs>
        <w:spacing w:after="0" w:line="240" w:lineRule="auto"/>
        <w:ind w:left="175"/>
        <w:jc w:val="both"/>
        <w:rPr>
          <w:sz w:val="20"/>
          <w:szCs w:val="20"/>
        </w:rPr>
      </w:pPr>
    </w:p>
    <w:p w:rsidR="0015589A" w:rsidRPr="00312A19" w:rsidRDefault="0015589A" w:rsidP="00D53E91">
      <w:pPr>
        <w:pStyle w:val="BodyText2"/>
        <w:spacing w:after="0" w:line="240" w:lineRule="auto"/>
        <w:jc w:val="both"/>
        <w:rPr>
          <w:rFonts w:cs="Arial"/>
          <w:sz w:val="20"/>
          <w:szCs w:val="20"/>
        </w:rPr>
      </w:pPr>
      <w:r w:rsidRPr="00312A19">
        <w:rPr>
          <w:rFonts w:cs="Arial"/>
          <w:sz w:val="20"/>
          <w:szCs w:val="20"/>
        </w:rPr>
        <w:t>The committee met a total of 6 times during 201</w:t>
      </w:r>
      <w:r w:rsidR="00DE239D">
        <w:rPr>
          <w:rFonts w:cs="Arial"/>
          <w:sz w:val="20"/>
          <w:szCs w:val="20"/>
        </w:rPr>
        <w:t>3</w:t>
      </w:r>
      <w:r w:rsidRPr="00312A19">
        <w:rPr>
          <w:rFonts w:cs="Arial"/>
          <w:sz w:val="20"/>
          <w:szCs w:val="20"/>
        </w:rPr>
        <w:t>. Items discussed and resolved included:</w:t>
      </w:r>
    </w:p>
    <w:p w:rsidR="0015589A" w:rsidRPr="00312A19" w:rsidRDefault="0015589A" w:rsidP="00D53E91">
      <w:pPr>
        <w:pStyle w:val="BodyText2"/>
        <w:spacing w:after="0" w:line="240" w:lineRule="auto"/>
        <w:ind w:left="480"/>
        <w:jc w:val="both"/>
        <w:rPr>
          <w:rFonts w:cs="Arial"/>
          <w:sz w:val="20"/>
          <w:szCs w:val="20"/>
        </w:rPr>
      </w:pPr>
    </w:p>
    <w:p w:rsidR="007B31A0" w:rsidRDefault="007B31A0" w:rsidP="00D53E91">
      <w:pPr>
        <w:pStyle w:val="BodyText2"/>
        <w:numPr>
          <w:ilvl w:val="0"/>
          <w:numId w:val="12"/>
        </w:numPr>
        <w:tabs>
          <w:tab w:val="clear" w:pos="1080"/>
          <w:tab w:val="num" w:pos="960"/>
        </w:tabs>
        <w:spacing w:after="0" w:line="240" w:lineRule="auto"/>
        <w:ind w:left="960"/>
        <w:jc w:val="both"/>
        <w:rPr>
          <w:sz w:val="20"/>
          <w:szCs w:val="20"/>
        </w:rPr>
      </w:pPr>
      <w:r>
        <w:rPr>
          <w:sz w:val="20"/>
          <w:szCs w:val="20"/>
        </w:rPr>
        <w:t>Medical Equipment Library Project</w:t>
      </w:r>
      <w:r w:rsidR="00405FC2">
        <w:rPr>
          <w:sz w:val="20"/>
          <w:szCs w:val="20"/>
        </w:rPr>
        <w:t>, plans &amp; executive approval</w:t>
      </w:r>
    </w:p>
    <w:p w:rsidR="00583FDD" w:rsidRDefault="00583FDD" w:rsidP="00D53E91">
      <w:pPr>
        <w:pStyle w:val="BodyText2"/>
        <w:numPr>
          <w:ilvl w:val="0"/>
          <w:numId w:val="12"/>
        </w:numPr>
        <w:tabs>
          <w:tab w:val="clear" w:pos="1080"/>
          <w:tab w:val="num" w:pos="960"/>
        </w:tabs>
        <w:spacing w:after="0" w:line="240" w:lineRule="auto"/>
        <w:ind w:left="960"/>
        <w:jc w:val="both"/>
        <w:rPr>
          <w:sz w:val="20"/>
          <w:szCs w:val="20"/>
        </w:rPr>
      </w:pPr>
      <w:r w:rsidRPr="00583FDD">
        <w:rPr>
          <w:sz w:val="20"/>
          <w:szCs w:val="20"/>
        </w:rPr>
        <w:t xml:space="preserve">Extension of </w:t>
      </w:r>
      <w:r w:rsidR="0015589A" w:rsidRPr="00583FDD">
        <w:rPr>
          <w:sz w:val="20"/>
          <w:szCs w:val="20"/>
        </w:rPr>
        <w:t xml:space="preserve">Guardrail </w:t>
      </w:r>
      <w:r w:rsidR="00F6318C" w:rsidRPr="00583FDD">
        <w:rPr>
          <w:sz w:val="20"/>
          <w:szCs w:val="20"/>
        </w:rPr>
        <w:t xml:space="preserve">(Dose Error Reduction (DER)) </w:t>
      </w:r>
      <w:r w:rsidR="0015589A" w:rsidRPr="00583FDD">
        <w:rPr>
          <w:sz w:val="20"/>
          <w:szCs w:val="20"/>
        </w:rPr>
        <w:t xml:space="preserve">software </w:t>
      </w:r>
      <w:r w:rsidRPr="00583FDD">
        <w:rPr>
          <w:sz w:val="20"/>
          <w:szCs w:val="20"/>
        </w:rPr>
        <w:t>to include volumetric pumps at</w:t>
      </w:r>
      <w:r w:rsidR="00DE239D" w:rsidRPr="00583FDD">
        <w:rPr>
          <w:sz w:val="20"/>
          <w:szCs w:val="20"/>
        </w:rPr>
        <w:t xml:space="preserve"> </w:t>
      </w:r>
      <w:r w:rsidR="0015589A" w:rsidRPr="00583FDD">
        <w:rPr>
          <w:sz w:val="20"/>
          <w:szCs w:val="20"/>
        </w:rPr>
        <w:t xml:space="preserve">BHH &amp; SH </w:t>
      </w:r>
    </w:p>
    <w:p w:rsidR="0091064B" w:rsidRPr="00583FDD" w:rsidRDefault="00DE239D" w:rsidP="00D53E91">
      <w:pPr>
        <w:pStyle w:val="BodyText2"/>
        <w:numPr>
          <w:ilvl w:val="0"/>
          <w:numId w:val="12"/>
        </w:numPr>
        <w:tabs>
          <w:tab w:val="clear" w:pos="1080"/>
          <w:tab w:val="num" w:pos="960"/>
        </w:tabs>
        <w:spacing w:after="0" w:line="240" w:lineRule="auto"/>
        <w:ind w:left="960"/>
        <w:jc w:val="both"/>
        <w:rPr>
          <w:sz w:val="20"/>
          <w:szCs w:val="20"/>
        </w:rPr>
      </w:pPr>
      <w:r w:rsidRPr="00583FDD">
        <w:rPr>
          <w:sz w:val="20"/>
          <w:szCs w:val="20"/>
        </w:rPr>
        <w:t>Introduction of both syringe &amp; volumetric</w:t>
      </w:r>
      <w:r w:rsidR="0091064B" w:rsidRPr="00583FDD">
        <w:rPr>
          <w:sz w:val="20"/>
          <w:szCs w:val="20"/>
        </w:rPr>
        <w:t xml:space="preserve"> infusion pumps </w:t>
      </w:r>
      <w:r w:rsidRPr="00583FDD">
        <w:rPr>
          <w:sz w:val="20"/>
          <w:szCs w:val="20"/>
        </w:rPr>
        <w:t xml:space="preserve">with DER </w:t>
      </w:r>
      <w:r w:rsidR="0091064B" w:rsidRPr="00583FDD">
        <w:rPr>
          <w:sz w:val="20"/>
          <w:szCs w:val="20"/>
        </w:rPr>
        <w:t>at Good Hope</w:t>
      </w:r>
    </w:p>
    <w:p w:rsidR="00DE239D" w:rsidRDefault="00DE239D" w:rsidP="00D53E91">
      <w:pPr>
        <w:pStyle w:val="BodyText2"/>
        <w:numPr>
          <w:ilvl w:val="0"/>
          <w:numId w:val="12"/>
        </w:numPr>
        <w:tabs>
          <w:tab w:val="clear" w:pos="1080"/>
          <w:tab w:val="num" w:pos="960"/>
        </w:tabs>
        <w:spacing w:after="0" w:line="240" w:lineRule="auto"/>
        <w:ind w:left="960"/>
        <w:jc w:val="both"/>
        <w:rPr>
          <w:sz w:val="20"/>
          <w:szCs w:val="20"/>
        </w:rPr>
      </w:pPr>
      <w:r>
        <w:rPr>
          <w:sz w:val="20"/>
          <w:szCs w:val="20"/>
        </w:rPr>
        <w:t>Switching existing AER washers to new chemistry at BHH &amp; SH; including provision of new equipment</w:t>
      </w:r>
    </w:p>
    <w:p w:rsidR="0015589A" w:rsidRPr="00D53E91" w:rsidRDefault="00405FC2" w:rsidP="00D53E91">
      <w:pPr>
        <w:pStyle w:val="BodyText2"/>
        <w:numPr>
          <w:ilvl w:val="0"/>
          <w:numId w:val="12"/>
        </w:numPr>
        <w:tabs>
          <w:tab w:val="clear" w:pos="1080"/>
          <w:tab w:val="num" w:pos="960"/>
        </w:tabs>
        <w:spacing w:after="0" w:line="240" w:lineRule="auto"/>
        <w:ind w:left="960"/>
        <w:jc w:val="both"/>
        <w:rPr>
          <w:sz w:val="20"/>
          <w:szCs w:val="20"/>
        </w:rPr>
      </w:pPr>
      <w:r w:rsidRPr="00D53E91">
        <w:rPr>
          <w:sz w:val="20"/>
          <w:szCs w:val="20"/>
        </w:rPr>
        <w:t>Introduction of needle safe devices for blood collection</w:t>
      </w:r>
    </w:p>
    <w:p w:rsidR="0015589A" w:rsidRDefault="0015589A" w:rsidP="00D53E91">
      <w:pPr>
        <w:pStyle w:val="BodyText2"/>
        <w:spacing w:after="0" w:line="240" w:lineRule="auto"/>
        <w:jc w:val="both"/>
      </w:pPr>
    </w:p>
    <w:p w:rsidR="0015589A" w:rsidRPr="003E0162" w:rsidRDefault="0015589A" w:rsidP="00D53E91">
      <w:pPr>
        <w:jc w:val="both"/>
        <w:rPr>
          <w:rFonts w:cs="Arial"/>
          <w:b/>
        </w:rPr>
      </w:pPr>
      <w:r w:rsidRPr="003E0162">
        <w:rPr>
          <w:rFonts w:cs="Arial"/>
          <w:b/>
        </w:rPr>
        <w:t xml:space="preserve">3.    </w:t>
      </w:r>
      <w:r w:rsidRPr="003E0162">
        <w:rPr>
          <w:rFonts w:cs="Arial"/>
          <w:b/>
        </w:rPr>
        <w:tab/>
        <w:t xml:space="preserve">Medical Devices Project </w:t>
      </w:r>
    </w:p>
    <w:p w:rsidR="0015589A" w:rsidRPr="00750B2B" w:rsidRDefault="0015589A" w:rsidP="00D53E91">
      <w:pPr>
        <w:jc w:val="both"/>
        <w:rPr>
          <w:rFonts w:cs="Arial"/>
          <w:sz w:val="20"/>
          <w:highlight w:val="yellow"/>
        </w:rPr>
      </w:pPr>
    </w:p>
    <w:p w:rsidR="006619D9" w:rsidRPr="00312A19" w:rsidRDefault="006619D9" w:rsidP="00D53E91">
      <w:pPr>
        <w:jc w:val="both"/>
        <w:rPr>
          <w:color w:val="000000"/>
          <w:sz w:val="20"/>
        </w:rPr>
      </w:pPr>
      <w:r w:rsidRPr="006619D9">
        <w:rPr>
          <w:rFonts w:cs="Arial"/>
          <w:sz w:val="20"/>
        </w:rPr>
        <w:t>The management of medical devices is a key Trust priority in ensuring the safe, effective and efficient use of medical devices</w:t>
      </w:r>
      <w:r>
        <w:rPr>
          <w:rFonts w:cs="Arial"/>
          <w:sz w:val="20"/>
        </w:rPr>
        <w:t xml:space="preserve">. </w:t>
      </w:r>
      <w:r w:rsidRPr="006619D9">
        <w:rPr>
          <w:rFonts w:cs="Arial"/>
          <w:sz w:val="20"/>
        </w:rPr>
        <w:t>A Medical Devices Project</w:t>
      </w:r>
      <w:r>
        <w:rPr>
          <w:rFonts w:cs="Arial"/>
          <w:sz w:val="20"/>
        </w:rPr>
        <w:t xml:space="preserve"> was</w:t>
      </w:r>
      <w:r w:rsidRPr="006619D9">
        <w:rPr>
          <w:rFonts w:cs="Arial"/>
          <w:sz w:val="20"/>
        </w:rPr>
        <w:t xml:space="preserve"> </w:t>
      </w:r>
      <w:r>
        <w:rPr>
          <w:rFonts w:cs="Arial"/>
          <w:sz w:val="20"/>
        </w:rPr>
        <w:t>initiated</w:t>
      </w:r>
      <w:r w:rsidRPr="006619D9">
        <w:rPr>
          <w:rFonts w:cs="Arial"/>
          <w:sz w:val="20"/>
        </w:rPr>
        <w:t xml:space="preserve"> in May 2011 to investigate the provision of a </w:t>
      </w:r>
      <w:r w:rsidRPr="006619D9">
        <w:rPr>
          <w:rFonts w:cs="Arial"/>
          <w:sz w:val="20"/>
          <w:lang w:eastAsia="en-GB"/>
        </w:rPr>
        <w:t xml:space="preserve">new equipment library structure and develop a Trust wide medical </w:t>
      </w:r>
      <w:r>
        <w:rPr>
          <w:rFonts w:cs="Arial"/>
          <w:sz w:val="20"/>
          <w:lang w:eastAsia="en-GB"/>
        </w:rPr>
        <w:t>equipment</w:t>
      </w:r>
      <w:r w:rsidRPr="006619D9">
        <w:rPr>
          <w:rFonts w:cs="Arial"/>
          <w:sz w:val="20"/>
          <w:lang w:eastAsia="en-GB"/>
        </w:rPr>
        <w:t xml:space="preserve"> management programme</w:t>
      </w:r>
      <w:r w:rsidRPr="006619D9">
        <w:rPr>
          <w:rFonts w:cs="Arial"/>
          <w:sz w:val="20"/>
        </w:rPr>
        <w:t xml:space="preserve">. </w:t>
      </w:r>
      <w:r w:rsidRPr="006619D9">
        <w:rPr>
          <w:rFonts w:cs="Arial"/>
          <w:sz w:val="20"/>
          <w:lang w:eastAsia="en-GB"/>
        </w:rPr>
        <w:t>This project has been realised by the development of a hybrid solution combining an external managed service contract for the provision and decontamination of pressure relief mattresses and an internal provision of an operationally effective and cost effective Medical Equipment Library</w:t>
      </w:r>
      <w:r>
        <w:rPr>
          <w:rFonts w:cs="Arial"/>
          <w:sz w:val="20"/>
          <w:lang w:eastAsia="en-GB"/>
        </w:rPr>
        <w:t>, which includes RFID (Radio Frequency Identification) tagging to track &amp; locate equipment.</w:t>
      </w:r>
      <w:r w:rsidRPr="00312A19">
        <w:rPr>
          <w:rFonts w:cs="Arial"/>
          <w:sz w:val="20"/>
          <w:lang w:eastAsia="en-GB"/>
        </w:rPr>
        <w:t xml:space="preserve"> </w:t>
      </w:r>
    </w:p>
    <w:p w:rsidR="006619D9" w:rsidRDefault="006619D9" w:rsidP="00D53E91">
      <w:pPr>
        <w:jc w:val="both"/>
        <w:rPr>
          <w:rFonts w:cs="Arial"/>
          <w:sz w:val="20"/>
          <w:highlight w:val="yellow"/>
        </w:rPr>
      </w:pPr>
    </w:p>
    <w:p w:rsidR="006619D9" w:rsidRPr="006619D9" w:rsidRDefault="00F546CC" w:rsidP="00D53E91">
      <w:pPr>
        <w:jc w:val="both"/>
        <w:rPr>
          <w:rFonts w:cs="Arial"/>
          <w:sz w:val="20"/>
        </w:rPr>
      </w:pPr>
      <w:r w:rsidRPr="006619D9">
        <w:rPr>
          <w:rFonts w:cs="Arial"/>
          <w:sz w:val="20"/>
        </w:rPr>
        <w:t>T</w:t>
      </w:r>
      <w:r w:rsidR="0015589A" w:rsidRPr="006619D9">
        <w:rPr>
          <w:rFonts w:cs="Arial"/>
          <w:sz w:val="20"/>
        </w:rPr>
        <w:t>h</w:t>
      </w:r>
      <w:r w:rsidR="006619D9" w:rsidRPr="006619D9">
        <w:rPr>
          <w:rFonts w:cs="Arial"/>
          <w:sz w:val="20"/>
        </w:rPr>
        <w:t>is solution offers th</w:t>
      </w:r>
      <w:r w:rsidR="0015589A" w:rsidRPr="006619D9">
        <w:rPr>
          <w:rFonts w:cs="Arial"/>
          <w:sz w:val="20"/>
        </w:rPr>
        <w:t xml:space="preserve">e best method of managing medical </w:t>
      </w:r>
      <w:r w:rsidR="00E83CF7">
        <w:rPr>
          <w:rFonts w:cs="Arial"/>
          <w:sz w:val="20"/>
        </w:rPr>
        <w:t>equipment</w:t>
      </w:r>
      <w:r w:rsidR="0015589A" w:rsidRPr="006619D9">
        <w:rPr>
          <w:rFonts w:cs="Arial"/>
          <w:sz w:val="20"/>
        </w:rPr>
        <w:t xml:space="preserve"> </w:t>
      </w:r>
      <w:r w:rsidR="00BD012C" w:rsidRPr="006619D9">
        <w:rPr>
          <w:rFonts w:cs="Arial"/>
          <w:sz w:val="20"/>
        </w:rPr>
        <w:t>T</w:t>
      </w:r>
      <w:r w:rsidR="0015589A" w:rsidRPr="006619D9">
        <w:rPr>
          <w:rFonts w:cs="Arial"/>
          <w:sz w:val="20"/>
        </w:rPr>
        <w:t>rust wide</w:t>
      </w:r>
      <w:r w:rsidRPr="006619D9">
        <w:rPr>
          <w:rFonts w:cs="Arial"/>
          <w:sz w:val="20"/>
        </w:rPr>
        <w:t xml:space="preserve"> </w:t>
      </w:r>
      <w:r w:rsidR="0015589A" w:rsidRPr="006619D9">
        <w:rPr>
          <w:rFonts w:cs="Arial"/>
          <w:sz w:val="20"/>
        </w:rPr>
        <w:t>to achieve a range of benefits</w:t>
      </w:r>
      <w:r w:rsidR="00E83CF7">
        <w:rPr>
          <w:rFonts w:cs="Arial"/>
          <w:sz w:val="20"/>
        </w:rPr>
        <w:t>,</w:t>
      </w:r>
      <w:r w:rsidR="0015589A" w:rsidRPr="006619D9">
        <w:rPr>
          <w:rFonts w:cs="Arial"/>
          <w:sz w:val="20"/>
        </w:rPr>
        <w:t xml:space="preserve"> </w:t>
      </w:r>
      <w:r w:rsidR="00E83CF7">
        <w:rPr>
          <w:rFonts w:cs="Arial"/>
          <w:sz w:val="20"/>
        </w:rPr>
        <w:t xml:space="preserve">including </w:t>
      </w:r>
      <w:r w:rsidR="0015589A" w:rsidRPr="006619D9">
        <w:rPr>
          <w:rFonts w:cs="Arial"/>
          <w:sz w:val="20"/>
        </w:rPr>
        <w:t xml:space="preserve">cost-effectiveness, maintenance, repair, clinical effectiveness, risk management, regulatory compliance and improved patient outcomes. </w:t>
      </w:r>
      <w:r w:rsidR="006619D9" w:rsidRPr="006619D9">
        <w:rPr>
          <w:rFonts w:cs="Arial"/>
          <w:sz w:val="20"/>
        </w:rPr>
        <w:t>This solution has provided a cost saving of around £200K</w:t>
      </w:r>
      <w:r w:rsidR="0015589A" w:rsidRPr="006619D9">
        <w:rPr>
          <w:rFonts w:cs="Arial"/>
          <w:sz w:val="20"/>
        </w:rPr>
        <w:t xml:space="preserve"> </w:t>
      </w:r>
    </w:p>
    <w:p w:rsidR="00312A19" w:rsidRPr="00583FDD" w:rsidRDefault="00312A19" w:rsidP="00D53E91">
      <w:pPr>
        <w:jc w:val="both"/>
        <w:rPr>
          <w:rFonts w:cs="Arial"/>
          <w:sz w:val="20"/>
          <w:highlight w:val="yellow"/>
        </w:rPr>
      </w:pPr>
    </w:p>
    <w:p w:rsidR="0015589A" w:rsidRDefault="0015589A" w:rsidP="00D53E91">
      <w:pPr>
        <w:jc w:val="both"/>
        <w:rPr>
          <w:rFonts w:cs="Arial"/>
          <w:b/>
        </w:rPr>
      </w:pPr>
      <w:r>
        <w:rPr>
          <w:rFonts w:cs="Arial"/>
          <w:b/>
        </w:rPr>
        <w:t>4.</w:t>
      </w:r>
      <w:r>
        <w:rPr>
          <w:rFonts w:cs="Arial"/>
          <w:b/>
        </w:rPr>
        <w:tab/>
      </w:r>
      <w:r w:rsidRPr="00FE531E">
        <w:rPr>
          <w:rFonts w:cs="Arial"/>
          <w:b/>
        </w:rPr>
        <w:t xml:space="preserve">Procurement of </w:t>
      </w:r>
      <w:r>
        <w:rPr>
          <w:rFonts w:cs="Arial"/>
          <w:b/>
        </w:rPr>
        <w:t>M</w:t>
      </w:r>
      <w:r w:rsidRPr="00FE531E">
        <w:rPr>
          <w:rFonts w:cs="Arial"/>
          <w:b/>
        </w:rPr>
        <w:t xml:space="preserve">edical </w:t>
      </w:r>
      <w:r>
        <w:rPr>
          <w:rFonts w:cs="Arial"/>
          <w:b/>
        </w:rPr>
        <w:t>D</w:t>
      </w:r>
      <w:r w:rsidRPr="00FE531E">
        <w:rPr>
          <w:rFonts w:cs="Arial"/>
          <w:b/>
        </w:rPr>
        <w:t>evices</w:t>
      </w:r>
      <w:r>
        <w:rPr>
          <w:rFonts w:cs="Arial"/>
          <w:b/>
        </w:rPr>
        <w:t xml:space="preserve">      </w:t>
      </w:r>
    </w:p>
    <w:p w:rsidR="00BD012C" w:rsidRPr="00750B2B" w:rsidRDefault="00BD012C" w:rsidP="00D53E91">
      <w:pPr>
        <w:pStyle w:val="BodyText2"/>
        <w:spacing w:after="0" w:line="240" w:lineRule="auto"/>
        <w:ind w:left="130"/>
        <w:jc w:val="both"/>
        <w:rPr>
          <w:rFonts w:cs="Arial"/>
          <w:sz w:val="20"/>
          <w:szCs w:val="20"/>
        </w:rPr>
      </w:pPr>
    </w:p>
    <w:p w:rsidR="00B46281" w:rsidRPr="00312A19" w:rsidRDefault="00B46281" w:rsidP="00D53E91">
      <w:pPr>
        <w:pStyle w:val="BodyText2"/>
        <w:spacing w:after="0" w:line="240" w:lineRule="auto"/>
        <w:jc w:val="both"/>
        <w:rPr>
          <w:rFonts w:cs="Arial"/>
          <w:sz w:val="20"/>
          <w:szCs w:val="20"/>
        </w:rPr>
      </w:pPr>
      <w:r w:rsidRPr="00312A19">
        <w:rPr>
          <w:rFonts w:cs="Arial"/>
          <w:sz w:val="20"/>
          <w:szCs w:val="20"/>
        </w:rPr>
        <w:t xml:space="preserve">The ‘virtual’ Acquisition Group, comprising of the Procurement Category Manager, the Medical Engineering Manager &amp; the Medical Devices &amp; Decontamination Manager, resolves issues and agree evaluation requests. This arrangement continues to operate very effectively with clinical guidance being sought as required and dependent upon the type of device under consideration. </w:t>
      </w:r>
    </w:p>
    <w:p w:rsidR="00B46281" w:rsidRPr="00312A19" w:rsidRDefault="00B46281" w:rsidP="00D53E91">
      <w:pPr>
        <w:ind w:left="65"/>
        <w:jc w:val="both"/>
        <w:rPr>
          <w:rFonts w:cs="Arial"/>
          <w:sz w:val="20"/>
        </w:rPr>
      </w:pPr>
    </w:p>
    <w:p w:rsidR="00B46281" w:rsidRPr="00312A19" w:rsidRDefault="00B46281" w:rsidP="00D53E91">
      <w:pPr>
        <w:jc w:val="both"/>
        <w:rPr>
          <w:rFonts w:cs="Arial"/>
          <w:sz w:val="20"/>
        </w:rPr>
      </w:pPr>
      <w:r w:rsidRPr="00312A19">
        <w:rPr>
          <w:rFonts w:cs="Arial"/>
          <w:sz w:val="20"/>
        </w:rPr>
        <w:t>All procurement requests from Directorates for devices not listed on the Trust's register of approved devices are screened to ensure compliance with Trust policies and requirements, this procedure is working very well and high levels of or</w:t>
      </w:r>
      <w:r>
        <w:rPr>
          <w:rFonts w:cs="Arial"/>
          <w:sz w:val="20"/>
        </w:rPr>
        <w:t>ganisational compliance operate, however, Procurement would like to engage with Medical Engineers to update and substantiate the approved devices list.</w:t>
      </w:r>
    </w:p>
    <w:p w:rsidR="00B46281" w:rsidRPr="00312A19" w:rsidRDefault="00B46281" w:rsidP="00D53E91">
      <w:pPr>
        <w:jc w:val="both"/>
        <w:rPr>
          <w:rFonts w:cs="Arial"/>
          <w:sz w:val="20"/>
        </w:rPr>
      </w:pPr>
    </w:p>
    <w:p w:rsidR="00B46281" w:rsidRPr="00312A19" w:rsidRDefault="00B46281" w:rsidP="00D53E91">
      <w:pPr>
        <w:jc w:val="both"/>
        <w:rPr>
          <w:rFonts w:cs="Arial"/>
          <w:sz w:val="20"/>
        </w:rPr>
      </w:pPr>
      <w:r w:rsidRPr="00312A19">
        <w:rPr>
          <w:rFonts w:cs="Arial"/>
          <w:sz w:val="20"/>
        </w:rPr>
        <w:t xml:space="preserve">Standardisation of </w:t>
      </w:r>
      <w:r>
        <w:rPr>
          <w:rFonts w:cs="Arial"/>
          <w:sz w:val="20"/>
        </w:rPr>
        <w:t>m</w:t>
      </w:r>
      <w:r w:rsidRPr="00312A19">
        <w:rPr>
          <w:rFonts w:cs="Arial"/>
          <w:sz w:val="20"/>
        </w:rPr>
        <w:t xml:space="preserve">edical </w:t>
      </w:r>
      <w:r>
        <w:rPr>
          <w:rFonts w:cs="Arial"/>
          <w:sz w:val="20"/>
        </w:rPr>
        <w:t>d</w:t>
      </w:r>
      <w:r w:rsidRPr="00312A19">
        <w:rPr>
          <w:rFonts w:cs="Arial"/>
          <w:sz w:val="20"/>
        </w:rPr>
        <w:t>evices continues to be a key driver to ensure compatibility with existing devices, ease of staff training, decontamination guidelines, availability of spare parts, and more cost effective maintenance.</w:t>
      </w:r>
      <w:r w:rsidRPr="00C576F6">
        <w:rPr>
          <w:rFonts w:cs="Arial"/>
          <w:sz w:val="20"/>
        </w:rPr>
        <w:t xml:space="preserve"> </w:t>
      </w:r>
      <w:r w:rsidRPr="00312A19">
        <w:rPr>
          <w:rFonts w:cs="Arial"/>
          <w:sz w:val="20"/>
        </w:rPr>
        <w:t xml:space="preserve">Standardisation of devices may also permit </w:t>
      </w:r>
      <w:r>
        <w:rPr>
          <w:rFonts w:cs="Arial"/>
          <w:sz w:val="20"/>
        </w:rPr>
        <w:t xml:space="preserve">further </w:t>
      </w:r>
      <w:r w:rsidRPr="00312A19">
        <w:rPr>
          <w:rFonts w:cs="Arial"/>
          <w:sz w:val="20"/>
        </w:rPr>
        <w:t>cost savings</w:t>
      </w:r>
      <w:r>
        <w:rPr>
          <w:rFonts w:cs="Arial"/>
          <w:sz w:val="20"/>
        </w:rPr>
        <w:t>.</w:t>
      </w:r>
    </w:p>
    <w:p w:rsidR="00B46281" w:rsidRPr="00312A19" w:rsidRDefault="00B46281" w:rsidP="00D53E91">
      <w:pPr>
        <w:jc w:val="both"/>
        <w:rPr>
          <w:rFonts w:cs="Arial"/>
          <w:sz w:val="20"/>
        </w:rPr>
      </w:pPr>
    </w:p>
    <w:p w:rsidR="00B46281" w:rsidRPr="00312A19" w:rsidRDefault="00B46281" w:rsidP="00D53E91">
      <w:pPr>
        <w:jc w:val="both"/>
        <w:rPr>
          <w:rFonts w:cs="Arial"/>
          <w:sz w:val="20"/>
        </w:rPr>
      </w:pPr>
      <w:r>
        <w:rPr>
          <w:rFonts w:cs="Arial"/>
          <w:sz w:val="20"/>
        </w:rPr>
        <w:t>The managed service provision of pressure relieving dynamic Mattress systems, is now in operation as of November 2013 at BHH bringing into line with similar services at GHH and Solihull and now ensuring full compliance on the decontamination of such mattress systems across all 3 sites.</w:t>
      </w:r>
    </w:p>
    <w:p w:rsidR="0015589A" w:rsidRPr="00312A19" w:rsidRDefault="00E83CF7" w:rsidP="00D53E91">
      <w:pPr>
        <w:jc w:val="both"/>
        <w:rPr>
          <w:rFonts w:cs="Arial"/>
          <w:sz w:val="20"/>
        </w:rPr>
      </w:pPr>
      <w:r>
        <w:rPr>
          <w:rFonts w:cs="Arial"/>
          <w:sz w:val="20"/>
        </w:rPr>
        <w:t>Future procurement plans will continue to consider</w:t>
      </w:r>
      <w:r w:rsidR="00BD012C" w:rsidRPr="00E83CF7">
        <w:rPr>
          <w:rFonts w:cs="Arial"/>
          <w:sz w:val="20"/>
        </w:rPr>
        <w:t xml:space="preserve"> the possibilities of managed service contract(s) </w:t>
      </w:r>
      <w:r w:rsidR="00E05521" w:rsidRPr="00E83CF7">
        <w:rPr>
          <w:rFonts w:cs="Arial"/>
          <w:sz w:val="20"/>
        </w:rPr>
        <w:t>with external</w:t>
      </w:r>
      <w:r w:rsidR="00BD012C" w:rsidRPr="00E83CF7">
        <w:rPr>
          <w:rFonts w:cs="Arial"/>
          <w:sz w:val="20"/>
        </w:rPr>
        <w:t xml:space="preserve"> private sector </w:t>
      </w:r>
      <w:r w:rsidR="001809DB" w:rsidRPr="00E83CF7">
        <w:rPr>
          <w:rFonts w:cs="Arial"/>
          <w:sz w:val="20"/>
        </w:rPr>
        <w:t>provid</w:t>
      </w:r>
      <w:r w:rsidR="001809DB">
        <w:rPr>
          <w:rFonts w:cs="Arial"/>
          <w:sz w:val="20"/>
        </w:rPr>
        <w:t>e</w:t>
      </w:r>
      <w:r w:rsidR="001809DB" w:rsidRPr="00E83CF7">
        <w:rPr>
          <w:rFonts w:cs="Arial"/>
          <w:sz w:val="20"/>
        </w:rPr>
        <w:t>r</w:t>
      </w:r>
      <w:r w:rsidR="00BD012C" w:rsidRPr="00E83CF7">
        <w:rPr>
          <w:rFonts w:cs="Arial"/>
          <w:sz w:val="20"/>
        </w:rPr>
        <w:t xml:space="preserve">(s) </w:t>
      </w:r>
      <w:r>
        <w:rPr>
          <w:rFonts w:cs="Arial"/>
          <w:sz w:val="20"/>
        </w:rPr>
        <w:t>where considered appropriate and beneficial to the Trust.</w:t>
      </w:r>
      <w:r w:rsidR="00BD012C" w:rsidRPr="00312A19">
        <w:rPr>
          <w:rFonts w:cs="Arial"/>
          <w:sz w:val="20"/>
        </w:rPr>
        <w:t xml:space="preserve"> </w:t>
      </w:r>
    </w:p>
    <w:p w:rsidR="00601F1F" w:rsidRDefault="00601F1F" w:rsidP="00D53E91">
      <w:pPr>
        <w:jc w:val="both"/>
        <w:rPr>
          <w:rFonts w:cs="Arial"/>
          <w:sz w:val="20"/>
        </w:rPr>
      </w:pPr>
    </w:p>
    <w:p w:rsidR="0015589A" w:rsidRPr="009320D4" w:rsidRDefault="0015589A" w:rsidP="00D53E91">
      <w:pPr>
        <w:jc w:val="both"/>
        <w:rPr>
          <w:rFonts w:cs="Arial"/>
          <w:b/>
        </w:rPr>
      </w:pPr>
      <w:r w:rsidRPr="009320D4">
        <w:rPr>
          <w:rFonts w:cs="Arial"/>
          <w:b/>
        </w:rPr>
        <w:t>5.</w:t>
      </w:r>
      <w:r w:rsidRPr="009320D4">
        <w:rPr>
          <w:rFonts w:cs="Arial"/>
          <w:b/>
        </w:rPr>
        <w:tab/>
        <w:t>Decontamination of Reusable Medical Devices</w:t>
      </w:r>
    </w:p>
    <w:p w:rsidR="0015589A" w:rsidRPr="00312A19" w:rsidRDefault="0015589A" w:rsidP="00D53E91">
      <w:pPr>
        <w:jc w:val="both"/>
        <w:rPr>
          <w:rFonts w:cs="Arial"/>
          <w:b/>
          <w:bCs/>
          <w:i/>
          <w:color w:val="000000"/>
          <w:sz w:val="20"/>
          <w:lang w:eastAsia="en-GB"/>
        </w:rPr>
      </w:pPr>
    </w:p>
    <w:p w:rsidR="001809DB" w:rsidRPr="00087259" w:rsidRDefault="001809DB" w:rsidP="00D53E91">
      <w:pPr>
        <w:ind w:left="110"/>
        <w:jc w:val="both"/>
        <w:rPr>
          <w:rFonts w:cs="Arial"/>
          <w:sz w:val="20"/>
        </w:rPr>
      </w:pPr>
      <w:r w:rsidRPr="00087259">
        <w:rPr>
          <w:rFonts w:cs="Arial"/>
          <w:sz w:val="20"/>
        </w:rPr>
        <w:t>The Trust is required as far as reasonably practicable to ensure that all reusable medical devices are properly decontaminated prior to use in accordance with published, national standards and that the risks associated with decontamination facilities and processes are appropriately managed.</w:t>
      </w:r>
    </w:p>
    <w:p w:rsidR="001809DB" w:rsidRPr="00087259" w:rsidRDefault="001809DB" w:rsidP="00D53E91">
      <w:pPr>
        <w:ind w:left="110"/>
        <w:jc w:val="both"/>
        <w:rPr>
          <w:rFonts w:cs="Arial"/>
          <w:sz w:val="20"/>
        </w:rPr>
      </w:pPr>
    </w:p>
    <w:p w:rsidR="001809DB" w:rsidRPr="00087259" w:rsidRDefault="001809DB" w:rsidP="00D53E91">
      <w:pPr>
        <w:ind w:left="110"/>
        <w:jc w:val="both"/>
        <w:rPr>
          <w:rFonts w:cs="Arial"/>
          <w:sz w:val="20"/>
        </w:rPr>
      </w:pPr>
      <w:r w:rsidRPr="00087259">
        <w:rPr>
          <w:rFonts w:cs="Arial"/>
          <w:sz w:val="20"/>
        </w:rPr>
        <w:t>Current Decontamination Standards:-</w:t>
      </w:r>
    </w:p>
    <w:p w:rsidR="001809DB" w:rsidRPr="00087259" w:rsidRDefault="001809DB" w:rsidP="00D53E91">
      <w:pPr>
        <w:ind w:left="110"/>
        <w:jc w:val="both"/>
        <w:rPr>
          <w:rFonts w:cs="Arial"/>
          <w:sz w:val="20"/>
        </w:rPr>
      </w:pPr>
      <w:r w:rsidRPr="00087259">
        <w:rPr>
          <w:rFonts w:cs="Arial"/>
          <w:sz w:val="20"/>
        </w:rPr>
        <w:t xml:space="preserve">Choice Framework for local Policy and Procedures 01-06 (CFPP0106), which replaced the NHS Estate’s Health Technical Memorandum (HTM 2030) in 2012. </w:t>
      </w:r>
    </w:p>
    <w:p w:rsidR="001809DB" w:rsidRPr="00087259" w:rsidRDefault="001809DB" w:rsidP="00D53E91">
      <w:pPr>
        <w:ind w:left="110"/>
        <w:jc w:val="both"/>
        <w:rPr>
          <w:rFonts w:cs="Arial"/>
          <w:sz w:val="20"/>
        </w:rPr>
      </w:pPr>
      <w:r w:rsidRPr="00087259">
        <w:rPr>
          <w:rFonts w:cs="Arial"/>
          <w:sz w:val="20"/>
        </w:rPr>
        <w:t xml:space="preserve">Care Quality Commission, Outcome 8, Regulation 12. </w:t>
      </w:r>
    </w:p>
    <w:p w:rsidR="001809DB" w:rsidRPr="00087259" w:rsidRDefault="001809DB" w:rsidP="00D53E91">
      <w:pPr>
        <w:ind w:left="110"/>
        <w:jc w:val="both"/>
        <w:rPr>
          <w:rFonts w:cs="Arial"/>
          <w:sz w:val="20"/>
        </w:rPr>
      </w:pPr>
    </w:p>
    <w:p w:rsidR="001809DB" w:rsidRPr="00087259" w:rsidRDefault="001809DB" w:rsidP="002670F6">
      <w:pPr>
        <w:ind w:left="240"/>
        <w:jc w:val="both"/>
        <w:rPr>
          <w:rFonts w:cs="Arial"/>
          <w:sz w:val="20"/>
        </w:rPr>
      </w:pPr>
      <w:r w:rsidRPr="00087259">
        <w:rPr>
          <w:rFonts w:cs="Arial"/>
          <w:sz w:val="20"/>
        </w:rPr>
        <w:lastRenderedPageBreak/>
        <w:t xml:space="preserve">Management responsibility for ensuring the Trust’s continued compliance with local decontamination standards is held by the Trust Decontamination Committee and the Medical Devices &amp; Decontamination Manager. The Decontamination Committee meets bi-monthly and has been chaired by Consultant Gastroenterologist, Dr Alexandra Daley, since January 2013.  </w:t>
      </w:r>
    </w:p>
    <w:p w:rsidR="001809DB" w:rsidRPr="00087259" w:rsidRDefault="001809DB" w:rsidP="00D53E91">
      <w:pPr>
        <w:ind w:left="110"/>
        <w:jc w:val="both"/>
        <w:rPr>
          <w:rFonts w:cs="Arial"/>
          <w:sz w:val="20"/>
        </w:rPr>
      </w:pPr>
    </w:p>
    <w:p w:rsidR="001809DB" w:rsidRPr="00087259" w:rsidRDefault="001809DB" w:rsidP="00D53E91">
      <w:pPr>
        <w:ind w:left="240"/>
        <w:jc w:val="both"/>
        <w:rPr>
          <w:rFonts w:cs="Arial"/>
          <w:sz w:val="20"/>
        </w:rPr>
      </w:pPr>
      <w:r w:rsidRPr="00087259">
        <w:rPr>
          <w:rFonts w:cs="Arial"/>
          <w:sz w:val="20"/>
        </w:rPr>
        <w:t>The Trust has access, when required, to the services of an external Authorised Engineer (Decontamination), to provide an expert opinion and external audit of local decontamination practice. Further assurance and expert advice is also available to us from the Trust DIPC, Dr Keith Struthers, and Consultant Medical Microbiologist, Dr Kathy Nye. Through their work with PHE, they also have direct access to other local &amp; national experts.</w:t>
      </w:r>
    </w:p>
    <w:p w:rsidR="001809DB" w:rsidRPr="00087259" w:rsidRDefault="001809DB" w:rsidP="00D53E91">
      <w:pPr>
        <w:jc w:val="both"/>
        <w:rPr>
          <w:rFonts w:cs="Arial"/>
          <w:sz w:val="22"/>
          <w:szCs w:val="22"/>
        </w:rPr>
      </w:pPr>
    </w:p>
    <w:p w:rsidR="001809DB" w:rsidRPr="001B0F22" w:rsidRDefault="001809DB" w:rsidP="00D53E91">
      <w:pPr>
        <w:ind w:left="240"/>
        <w:jc w:val="both"/>
        <w:rPr>
          <w:rFonts w:cs="Arial"/>
          <w:b/>
          <w:sz w:val="20"/>
        </w:rPr>
      </w:pPr>
      <w:r w:rsidRPr="001B0F22">
        <w:rPr>
          <w:rFonts w:cs="Arial"/>
          <w:b/>
          <w:sz w:val="20"/>
        </w:rPr>
        <w:t>Surgical Instruments</w:t>
      </w:r>
    </w:p>
    <w:p w:rsidR="00E368B2" w:rsidRDefault="00E368B2" w:rsidP="00D53E91">
      <w:pPr>
        <w:ind w:left="240"/>
        <w:jc w:val="both"/>
        <w:rPr>
          <w:rFonts w:cs="Arial"/>
          <w:sz w:val="20"/>
        </w:rPr>
      </w:pPr>
    </w:p>
    <w:p w:rsidR="001809DB" w:rsidRPr="00087259" w:rsidRDefault="001809DB" w:rsidP="00D53E91">
      <w:pPr>
        <w:ind w:left="240"/>
        <w:jc w:val="both"/>
        <w:rPr>
          <w:rFonts w:cs="Arial"/>
          <w:sz w:val="20"/>
        </w:rPr>
      </w:pPr>
      <w:r w:rsidRPr="00087259">
        <w:rPr>
          <w:rFonts w:cs="Arial"/>
          <w:sz w:val="20"/>
        </w:rPr>
        <w:t>Decontamination of surgical instruments is outsourced to B.Braun Sterilog and the Scantrack IMS system is currently used to track instruments through the various stages of the decontamination process. Traceability of instrument sets used on individual patients is assured, currently, by the manual insertion of instrument set production labels into patient notes. However, this information is difficult and time-consuming to retrieve in the event of a look-back exercise or audit.</w:t>
      </w:r>
    </w:p>
    <w:p w:rsidR="001809DB" w:rsidRPr="00087259" w:rsidRDefault="001809DB" w:rsidP="00D53E91">
      <w:pPr>
        <w:ind w:left="240"/>
        <w:jc w:val="both"/>
        <w:rPr>
          <w:rFonts w:cs="Arial"/>
          <w:sz w:val="20"/>
        </w:rPr>
      </w:pPr>
      <w:r w:rsidRPr="00087259">
        <w:rPr>
          <w:rFonts w:cs="Arial"/>
          <w:sz w:val="20"/>
        </w:rPr>
        <w:t xml:space="preserve">Following an options appraisal, it has been decided to incorporate an instrument traceability module into the new, electronic Theatre Management Information System (TMIS) which is being developed within the Trust. This will enable rapid &amp; accurate tracing of instruments &amp; the patients on whom they were used. It is anticipated that this module will be introduced in mid 2014. </w:t>
      </w:r>
    </w:p>
    <w:p w:rsidR="001809DB" w:rsidRDefault="001809DB" w:rsidP="00D53E91">
      <w:pPr>
        <w:ind w:left="240"/>
        <w:jc w:val="both"/>
        <w:rPr>
          <w:rFonts w:cs="Arial"/>
          <w:sz w:val="20"/>
        </w:rPr>
      </w:pPr>
    </w:p>
    <w:p w:rsidR="001809DB" w:rsidRPr="001B0F22" w:rsidRDefault="001809DB" w:rsidP="00D53E91">
      <w:pPr>
        <w:ind w:left="240"/>
        <w:jc w:val="both"/>
        <w:rPr>
          <w:rFonts w:cs="Arial"/>
          <w:b/>
          <w:sz w:val="20"/>
        </w:rPr>
      </w:pPr>
      <w:r w:rsidRPr="001B0F22">
        <w:rPr>
          <w:rFonts w:cs="Arial"/>
          <w:b/>
          <w:sz w:val="20"/>
        </w:rPr>
        <w:t>Local Decontamination</w:t>
      </w:r>
    </w:p>
    <w:p w:rsidR="00E368B2" w:rsidRDefault="00E368B2" w:rsidP="00D53E91">
      <w:pPr>
        <w:ind w:left="240"/>
        <w:jc w:val="both"/>
        <w:rPr>
          <w:rFonts w:cs="Arial"/>
          <w:sz w:val="20"/>
        </w:rPr>
      </w:pPr>
    </w:p>
    <w:p w:rsidR="001809DB" w:rsidRPr="00087259" w:rsidRDefault="001809DB" w:rsidP="00D53E91">
      <w:pPr>
        <w:ind w:left="240"/>
        <w:jc w:val="both"/>
        <w:rPr>
          <w:rFonts w:cs="Arial"/>
          <w:sz w:val="20"/>
        </w:rPr>
      </w:pPr>
      <w:r w:rsidRPr="00087259">
        <w:rPr>
          <w:rFonts w:cs="Arial"/>
          <w:sz w:val="20"/>
        </w:rPr>
        <w:t>All decontamination of heat sensitive items is undertaken in strict adherence to the Trust Decontamination and Infection Control Policies and with the guidance of the Infection Control team</w:t>
      </w:r>
    </w:p>
    <w:p w:rsidR="001809DB" w:rsidRPr="00087259" w:rsidRDefault="001809DB" w:rsidP="00D53E91">
      <w:pPr>
        <w:jc w:val="both"/>
        <w:rPr>
          <w:rFonts w:cs="Arial"/>
          <w:sz w:val="22"/>
          <w:szCs w:val="22"/>
        </w:rPr>
      </w:pPr>
    </w:p>
    <w:p w:rsidR="001809DB" w:rsidRPr="00087259" w:rsidRDefault="001809DB" w:rsidP="00D53E91">
      <w:pPr>
        <w:ind w:left="229"/>
        <w:jc w:val="both"/>
        <w:rPr>
          <w:rFonts w:cs="Arial"/>
          <w:sz w:val="20"/>
        </w:rPr>
      </w:pPr>
      <w:r w:rsidRPr="00087259">
        <w:rPr>
          <w:rFonts w:cs="Arial"/>
          <w:sz w:val="20"/>
        </w:rPr>
        <w:t>Historically there has been a poor understanding of the guidelines and regulations surrounding the decontamination of endoscopes, particularly amongst non-specialist staff.  In some part this is due to the lack of clarity within the guidelines themselves, but it has not been improved by the introduction of the more complex CFPP 0106 last year. To address this issue key staff have been designated with lead responsibility for decontamination in their areas and have completed a programme of external training in decontamination. An Endoscope Users Group was established in 2011; this operates as a sub-group reporting in to the Decontamination Committee</w:t>
      </w:r>
      <w:r>
        <w:rPr>
          <w:rFonts w:cs="Arial"/>
          <w:sz w:val="20"/>
        </w:rPr>
        <w:t xml:space="preserve"> and provides an opportunity to run specialist training sessions and share best practice across the different specialist teams involved in decontamination</w:t>
      </w:r>
      <w:r w:rsidRPr="00087259">
        <w:rPr>
          <w:rFonts w:cs="Arial"/>
          <w:sz w:val="20"/>
        </w:rPr>
        <w:t>.</w:t>
      </w:r>
    </w:p>
    <w:p w:rsidR="001809DB" w:rsidRDefault="001809DB" w:rsidP="00D53E91">
      <w:pPr>
        <w:ind w:left="240"/>
        <w:jc w:val="both"/>
        <w:rPr>
          <w:rFonts w:cs="Arial"/>
          <w:sz w:val="20"/>
        </w:rPr>
      </w:pPr>
    </w:p>
    <w:p w:rsidR="001809DB" w:rsidRDefault="001809DB" w:rsidP="00D53E91">
      <w:pPr>
        <w:ind w:left="240"/>
        <w:jc w:val="both"/>
        <w:rPr>
          <w:rFonts w:cs="Arial"/>
          <w:sz w:val="20"/>
        </w:rPr>
      </w:pPr>
      <w:r w:rsidRPr="00087259">
        <w:rPr>
          <w:rFonts w:cs="Arial"/>
          <w:sz w:val="20"/>
        </w:rPr>
        <w:t>Local decontamination is focussed on the reprocessing of flexible endoscopes in Automated Endoscope Reprocessors (AERs), which is carried out in the following specialist units across the Trust:-</w:t>
      </w:r>
    </w:p>
    <w:p w:rsidR="001809DB" w:rsidRPr="00087259" w:rsidRDefault="001809DB" w:rsidP="00D53E91">
      <w:pPr>
        <w:ind w:left="240"/>
        <w:jc w:val="both"/>
        <w:rPr>
          <w:rFonts w:cs="Arial"/>
          <w:sz w:val="20"/>
        </w:rPr>
      </w:pPr>
    </w:p>
    <w:p w:rsidR="001809DB" w:rsidRPr="00087259" w:rsidRDefault="001809DB" w:rsidP="00D53E91">
      <w:pPr>
        <w:ind w:left="240"/>
        <w:jc w:val="both"/>
        <w:rPr>
          <w:rFonts w:cs="Arial"/>
          <w:sz w:val="20"/>
        </w:rPr>
      </w:pPr>
      <w:r w:rsidRPr="00087259">
        <w:rPr>
          <w:rFonts w:cs="Arial"/>
          <w:sz w:val="20"/>
        </w:rPr>
        <w:t>Urology at Heartlands</w:t>
      </w:r>
    </w:p>
    <w:p w:rsidR="001809DB" w:rsidRPr="00087259" w:rsidRDefault="001809DB" w:rsidP="00D53E91">
      <w:pPr>
        <w:ind w:left="240"/>
        <w:jc w:val="both"/>
        <w:rPr>
          <w:rFonts w:cs="Arial"/>
          <w:sz w:val="20"/>
        </w:rPr>
      </w:pPr>
      <w:r w:rsidRPr="00087259">
        <w:rPr>
          <w:rFonts w:cs="Arial"/>
          <w:sz w:val="20"/>
        </w:rPr>
        <w:t>Theatres at Heartlands</w:t>
      </w:r>
    </w:p>
    <w:p w:rsidR="001809DB" w:rsidRPr="00087259" w:rsidRDefault="001809DB" w:rsidP="00D53E91">
      <w:pPr>
        <w:ind w:left="240"/>
        <w:jc w:val="both"/>
        <w:rPr>
          <w:rFonts w:cs="Arial"/>
          <w:sz w:val="20"/>
        </w:rPr>
      </w:pPr>
      <w:r w:rsidRPr="00087259">
        <w:rPr>
          <w:rFonts w:cs="Arial"/>
          <w:sz w:val="20"/>
        </w:rPr>
        <w:t>Endoscopy on all 3 sites</w:t>
      </w:r>
    </w:p>
    <w:p w:rsidR="001809DB" w:rsidRPr="00087259" w:rsidRDefault="001809DB" w:rsidP="00D53E91">
      <w:pPr>
        <w:ind w:left="240"/>
        <w:jc w:val="both"/>
        <w:rPr>
          <w:rFonts w:cs="Arial"/>
          <w:sz w:val="20"/>
        </w:rPr>
      </w:pPr>
    </w:p>
    <w:p w:rsidR="001809DB" w:rsidRPr="00087259" w:rsidRDefault="001809DB" w:rsidP="00D53E91">
      <w:pPr>
        <w:ind w:left="229"/>
        <w:jc w:val="both"/>
        <w:rPr>
          <w:rFonts w:cs="Arial"/>
          <w:sz w:val="20"/>
        </w:rPr>
      </w:pPr>
      <w:r w:rsidRPr="00087259">
        <w:rPr>
          <w:rFonts w:cs="Arial"/>
          <w:sz w:val="20"/>
        </w:rPr>
        <w:t>Scope decontamination facilities on both Solihull &amp; Good Hope sites operate as a centralised decontamination facility for the respective sites and are operated by trained endoscopy staff. It is proposed that this model will be introduced at Heartlands during 2014 and decontamination within Theatres at BHH will become the remit of specialised Endoscopy staff as on the other two sites.</w:t>
      </w:r>
    </w:p>
    <w:p w:rsidR="001809DB" w:rsidRPr="00087259" w:rsidRDefault="001809DB" w:rsidP="00D53E91">
      <w:pPr>
        <w:ind w:left="229"/>
        <w:jc w:val="both"/>
        <w:rPr>
          <w:rFonts w:cs="Arial"/>
          <w:sz w:val="20"/>
        </w:rPr>
      </w:pPr>
      <w:r w:rsidRPr="00087259">
        <w:rPr>
          <w:rFonts w:cs="Arial"/>
          <w:sz w:val="20"/>
        </w:rPr>
        <w:t xml:space="preserve">Future plans to incorporate Urology scope reprocessing in a central endoscopy unit at Heartlands are being considered by the Surgery Directorate. Capacity within the existing units is limited by the clinical space available; however the new equipment now in place will assist with patient flow until a new larger unit can be created. In Urology scope reprocessing is also benefitting from a new AER to replace the old obsolete machine. </w:t>
      </w:r>
    </w:p>
    <w:p w:rsidR="001809DB" w:rsidRDefault="001809DB" w:rsidP="00D53E91">
      <w:pPr>
        <w:ind w:left="240"/>
        <w:jc w:val="both"/>
        <w:rPr>
          <w:rFonts w:cs="Arial"/>
          <w:sz w:val="20"/>
        </w:rPr>
      </w:pPr>
    </w:p>
    <w:p w:rsidR="001809DB" w:rsidRPr="00087259" w:rsidRDefault="001809DB" w:rsidP="00D53E91">
      <w:pPr>
        <w:ind w:left="240"/>
        <w:jc w:val="both"/>
        <w:rPr>
          <w:rFonts w:cs="Arial"/>
          <w:sz w:val="20"/>
        </w:rPr>
      </w:pPr>
      <w:r w:rsidRPr="00087259">
        <w:rPr>
          <w:rFonts w:cs="Arial"/>
          <w:sz w:val="20"/>
        </w:rPr>
        <w:t xml:space="preserve">External testing &amp; maintenance contracts for Trust AER machines, and drying cabinets, Trust wide have been combined to facilitate better management and to provide economies of scale across Endoscopy, Urology &amp; Theatre Directorates. </w:t>
      </w:r>
    </w:p>
    <w:p w:rsidR="001809DB" w:rsidRDefault="001809DB" w:rsidP="00D53E91">
      <w:pPr>
        <w:ind w:left="229"/>
        <w:jc w:val="both"/>
        <w:rPr>
          <w:rFonts w:cs="Arial"/>
          <w:sz w:val="20"/>
        </w:rPr>
      </w:pPr>
    </w:p>
    <w:p w:rsidR="001809DB" w:rsidRPr="00087259" w:rsidRDefault="001809DB" w:rsidP="00D53E91">
      <w:pPr>
        <w:ind w:left="229"/>
        <w:jc w:val="both"/>
        <w:rPr>
          <w:rFonts w:cs="Arial"/>
          <w:sz w:val="20"/>
        </w:rPr>
      </w:pPr>
      <w:r w:rsidRPr="00087259">
        <w:rPr>
          <w:rFonts w:cs="Arial"/>
          <w:sz w:val="20"/>
        </w:rPr>
        <w:t>Decontamination using Tristel disinfectant wipes is carried out in two clinical specialities listed below:-</w:t>
      </w:r>
    </w:p>
    <w:p w:rsidR="001809DB" w:rsidRPr="00087259" w:rsidRDefault="001809DB" w:rsidP="00D53E91">
      <w:pPr>
        <w:ind w:left="240"/>
        <w:jc w:val="both"/>
        <w:rPr>
          <w:rFonts w:cs="Arial"/>
          <w:sz w:val="20"/>
        </w:rPr>
      </w:pPr>
    </w:p>
    <w:p w:rsidR="001809DB" w:rsidRPr="00087259" w:rsidRDefault="001809DB" w:rsidP="00D53E91">
      <w:pPr>
        <w:ind w:left="240"/>
        <w:jc w:val="both"/>
        <w:rPr>
          <w:rFonts w:cs="Arial"/>
          <w:sz w:val="20"/>
        </w:rPr>
      </w:pPr>
      <w:r w:rsidRPr="00087259">
        <w:rPr>
          <w:rFonts w:cs="Arial"/>
          <w:sz w:val="20"/>
        </w:rPr>
        <w:t>Ear Nose &amp; Throat, Out Patients Dept. on all 3 sites (Nasendoscopes (TNE))</w:t>
      </w:r>
    </w:p>
    <w:p w:rsidR="001809DB" w:rsidRPr="00087259" w:rsidRDefault="001809DB" w:rsidP="00D53E91">
      <w:pPr>
        <w:ind w:left="240"/>
        <w:jc w:val="both"/>
        <w:rPr>
          <w:rFonts w:cs="Arial"/>
          <w:sz w:val="20"/>
        </w:rPr>
      </w:pPr>
      <w:r w:rsidRPr="00087259">
        <w:rPr>
          <w:rFonts w:cs="Arial"/>
          <w:sz w:val="20"/>
        </w:rPr>
        <w:t>Cardiology on all 3 sites (Trans Oesophageal Echo (TOE probes))</w:t>
      </w:r>
    </w:p>
    <w:p w:rsidR="001809DB" w:rsidRPr="00087259" w:rsidRDefault="001809DB" w:rsidP="00D53E91">
      <w:pPr>
        <w:jc w:val="both"/>
        <w:rPr>
          <w:rFonts w:cs="Arial"/>
          <w:sz w:val="22"/>
          <w:szCs w:val="22"/>
        </w:rPr>
      </w:pPr>
    </w:p>
    <w:p w:rsidR="001809DB" w:rsidRPr="00087259" w:rsidRDefault="001809DB" w:rsidP="00D53E91">
      <w:pPr>
        <w:ind w:left="240"/>
        <w:jc w:val="both"/>
        <w:rPr>
          <w:rFonts w:cs="Arial"/>
          <w:sz w:val="20"/>
        </w:rPr>
      </w:pPr>
      <w:r w:rsidRPr="00087259">
        <w:rPr>
          <w:rFonts w:cs="Arial"/>
          <w:sz w:val="20"/>
        </w:rPr>
        <w:lastRenderedPageBreak/>
        <w:t>A regular &amp; robust audit process continues to be in operation to confirm that the required testing is completed for all AERs and to confirm efficacy of TNE &amp; TOE probe decontamination. These audit results are reported on a bi-monthly basis to the Decontamination Committee where they are reviewed and assurance is also provided to the Medical Devices Committee.</w:t>
      </w:r>
    </w:p>
    <w:p w:rsidR="0015589A" w:rsidRDefault="0015589A" w:rsidP="00D53E91">
      <w:pPr>
        <w:ind w:left="240"/>
        <w:jc w:val="both"/>
        <w:rPr>
          <w:rFonts w:cs="Arial"/>
          <w:bCs/>
          <w:color w:val="000000"/>
          <w:sz w:val="20"/>
          <w:lang w:eastAsia="en-GB"/>
        </w:rPr>
      </w:pPr>
    </w:p>
    <w:p w:rsidR="00E368B2" w:rsidRDefault="00E368B2" w:rsidP="00D53E91">
      <w:pPr>
        <w:ind w:left="240"/>
        <w:jc w:val="both"/>
        <w:rPr>
          <w:rFonts w:cs="Arial"/>
          <w:b/>
        </w:rPr>
      </w:pPr>
    </w:p>
    <w:p w:rsidR="00E368B2" w:rsidRDefault="00E368B2" w:rsidP="00D53E91">
      <w:pPr>
        <w:ind w:left="240"/>
        <w:jc w:val="both"/>
        <w:rPr>
          <w:rFonts w:cs="Arial"/>
          <w:b/>
        </w:rPr>
      </w:pPr>
    </w:p>
    <w:p w:rsidR="008E224C" w:rsidRPr="00933200" w:rsidRDefault="0015589A" w:rsidP="00D53E91">
      <w:pPr>
        <w:ind w:left="240"/>
        <w:jc w:val="both"/>
        <w:rPr>
          <w:rFonts w:cs="Arial"/>
          <w:b/>
        </w:rPr>
      </w:pPr>
      <w:r w:rsidRPr="008E224C">
        <w:rPr>
          <w:rFonts w:cs="Arial"/>
          <w:b/>
        </w:rPr>
        <w:t>6.</w:t>
      </w:r>
      <w:r w:rsidRPr="008E224C">
        <w:rPr>
          <w:rFonts w:cs="Arial"/>
          <w:b/>
        </w:rPr>
        <w:tab/>
      </w:r>
      <w:r w:rsidR="008E224C" w:rsidRPr="008E224C">
        <w:rPr>
          <w:rFonts w:cs="Arial"/>
          <w:b/>
        </w:rPr>
        <w:t>Point of Care Testing (POCT) Devices</w:t>
      </w:r>
    </w:p>
    <w:p w:rsidR="008E224C" w:rsidRPr="00750B2B" w:rsidRDefault="008E224C" w:rsidP="00D53E91">
      <w:pPr>
        <w:jc w:val="both"/>
        <w:rPr>
          <w:rFonts w:cs="Arial"/>
          <w:sz w:val="20"/>
          <w:highlight w:val="yellow"/>
        </w:rPr>
      </w:pPr>
    </w:p>
    <w:p w:rsidR="008E224C" w:rsidRDefault="008E224C" w:rsidP="00D53E91">
      <w:pPr>
        <w:ind w:left="240"/>
        <w:jc w:val="both"/>
        <w:rPr>
          <w:rFonts w:cs="Arial"/>
          <w:sz w:val="20"/>
        </w:rPr>
      </w:pPr>
      <w:r w:rsidRPr="00750B2B">
        <w:rPr>
          <w:rFonts w:cs="Arial"/>
          <w:sz w:val="20"/>
        </w:rPr>
        <w:t xml:space="preserve">The POCT team work across all sites of the Trust to improve the quality and safety of POCT devices e.g. blood glucose meters, blood gas analysers, urine pregnancy tests etc.  </w:t>
      </w:r>
      <w:r>
        <w:rPr>
          <w:rFonts w:cs="Arial"/>
          <w:sz w:val="20"/>
        </w:rPr>
        <w:t>This year has been very busy as the team have taken on much greater responsibility for managing the new blood glucose meters as well as other devices.  A major tender process is under way to replace many other POCT devices under a single managed service contract with full connectivity.  Subject to Trust approval this, should greatly improve the quality of POCT provision and is also intended to realise significant savings.</w:t>
      </w:r>
    </w:p>
    <w:p w:rsidR="008E224C" w:rsidRPr="00750B2B" w:rsidRDefault="008E224C" w:rsidP="00D53E91">
      <w:pPr>
        <w:jc w:val="both"/>
        <w:rPr>
          <w:rFonts w:cs="Arial"/>
          <w:sz w:val="20"/>
        </w:rPr>
      </w:pPr>
    </w:p>
    <w:p w:rsidR="008E224C" w:rsidRPr="00E368B2" w:rsidRDefault="008E224C" w:rsidP="00D53E91">
      <w:pPr>
        <w:ind w:left="240"/>
        <w:jc w:val="both"/>
        <w:rPr>
          <w:rFonts w:cs="Arial"/>
          <w:b/>
          <w:sz w:val="20"/>
        </w:rPr>
      </w:pPr>
      <w:r w:rsidRPr="00E368B2">
        <w:rPr>
          <w:rFonts w:cs="Arial"/>
          <w:b/>
          <w:sz w:val="20"/>
        </w:rPr>
        <w:t>Projects in 2013 / 14</w:t>
      </w:r>
    </w:p>
    <w:p w:rsidR="008E224C" w:rsidRDefault="008E224C" w:rsidP="00D53E91">
      <w:pPr>
        <w:ind w:left="240"/>
        <w:jc w:val="both"/>
        <w:rPr>
          <w:rFonts w:cs="Arial"/>
          <w:b/>
          <w:sz w:val="20"/>
        </w:rPr>
      </w:pPr>
    </w:p>
    <w:p w:rsidR="008E224C" w:rsidRPr="000A4104" w:rsidRDefault="008E224C" w:rsidP="00D53E91">
      <w:pPr>
        <w:ind w:left="240"/>
        <w:jc w:val="both"/>
        <w:rPr>
          <w:rFonts w:cs="Arial"/>
          <w:sz w:val="20"/>
        </w:rPr>
      </w:pPr>
      <w:r>
        <w:rPr>
          <w:rFonts w:cs="Arial"/>
          <w:b/>
          <w:sz w:val="20"/>
        </w:rPr>
        <w:t xml:space="preserve">Anticoagulation </w:t>
      </w:r>
      <w:r w:rsidR="00624942">
        <w:rPr>
          <w:rFonts w:cs="Arial"/>
          <w:b/>
          <w:sz w:val="20"/>
        </w:rPr>
        <w:t>clinics: The</w:t>
      </w:r>
      <w:r w:rsidRPr="000A4104">
        <w:rPr>
          <w:rFonts w:cs="Arial"/>
          <w:sz w:val="20"/>
        </w:rPr>
        <w:t xml:space="preserve"> POCT team have taken responsibility for managing the anticoagulation clinic services on the Good Hope site.  Currently 13 clinics per week, many within the community, the service has over 36,000 patient appointments per year.  The team are working with Clinical Haematology to harmonise the service with the Heartlands and Solihull sites.  There are also plans to modernise</w:t>
      </w:r>
      <w:r>
        <w:rPr>
          <w:rFonts w:cs="Arial"/>
          <w:sz w:val="20"/>
        </w:rPr>
        <w:t xml:space="preserve"> the equipment used in </w:t>
      </w:r>
      <w:r w:rsidRPr="000A4104">
        <w:rPr>
          <w:rFonts w:cs="Arial"/>
          <w:sz w:val="20"/>
        </w:rPr>
        <w:t xml:space="preserve">clinics across all sites and introduce connectivity to improve the results </w:t>
      </w:r>
      <w:r>
        <w:rPr>
          <w:rFonts w:cs="Arial"/>
          <w:sz w:val="20"/>
        </w:rPr>
        <w:t>data flow and help move towards obtaining accreditation for the analytical service.</w:t>
      </w:r>
    </w:p>
    <w:p w:rsidR="008E224C" w:rsidRPr="00750B2B" w:rsidRDefault="008E224C" w:rsidP="00D53E91">
      <w:pPr>
        <w:ind w:left="240"/>
        <w:jc w:val="both"/>
        <w:rPr>
          <w:rFonts w:cs="Arial"/>
          <w:b/>
          <w:sz w:val="20"/>
        </w:rPr>
      </w:pPr>
    </w:p>
    <w:p w:rsidR="008E224C" w:rsidRDefault="008E224C" w:rsidP="00D53E91">
      <w:pPr>
        <w:ind w:left="240"/>
        <w:jc w:val="both"/>
        <w:rPr>
          <w:rFonts w:cs="Arial"/>
          <w:sz w:val="20"/>
        </w:rPr>
      </w:pPr>
      <w:r w:rsidRPr="00750B2B">
        <w:rPr>
          <w:rFonts w:cs="Arial"/>
          <w:b/>
          <w:sz w:val="20"/>
        </w:rPr>
        <w:t>Replacement of Blood Gas Analysers and other POCT devices:</w:t>
      </w:r>
      <w:r w:rsidRPr="00750B2B">
        <w:rPr>
          <w:rFonts w:cs="Arial"/>
          <w:sz w:val="20"/>
        </w:rPr>
        <w:t xml:space="preserve">  </w:t>
      </w:r>
      <w:r>
        <w:rPr>
          <w:rFonts w:cs="Arial"/>
          <w:sz w:val="20"/>
        </w:rPr>
        <w:t xml:space="preserve">The Trust is in the middle of a tender process to replace </w:t>
      </w:r>
      <w:r w:rsidRPr="00750B2B">
        <w:rPr>
          <w:rFonts w:cs="Arial"/>
          <w:sz w:val="20"/>
        </w:rPr>
        <w:t xml:space="preserve">all blood gas analysers and other POCT devices </w:t>
      </w:r>
      <w:r>
        <w:rPr>
          <w:rFonts w:cs="Arial"/>
          <w:sz w:val="20"/>
        </w:rPr>
        <w:t>with</w:t>
      </w:r>
      <w:r w:rsidRPr="00750B2B">
        <w:rPr>
          <w:rFonts w:cs="Arial"/>
          <w:sz w:val="20"/>
        </w:rPr>
        <w:t xml:space="preserve">in a single managed service contract.  </w:t>
      </w:r>
    </w:p>
    <w:p w:rsidR="008E224C" w:rsidRDefault="008E224C" w:rsidP="00D53E91">
      <w:pPr>
        <w:ind w:left="240"/>
        <w:jc w:val="both"/>
        <w:rPr>
          <w:rFonts w:cs="Arial"/>
          <w:sz w:val="20"/>
        </w:rPr>
      </w:pPr>
    </w:p>
    <w:p w:rsidR="008E224C" w:rsidRDefault="008E224C" w:rsidP="00D53E91">
      <w:pPr>
        <w:ind w:left="240"/>
        <w:jc w:val="both"/>
        <w:rPr>
          <w:rFonts w:cs="Arial"/>
          <w:sz w:val="20"/>
        </w:rPr>
      </w:pPr>
      <w:r>
        <w:rPr>
          <w:rFonts w:cs="Arial"/>
          <w:sz w:val="20"/>
        </w:rPr>
        <w:t>We recently organised a series of successful Open Days where we invited clinical staff from across the Trust to come and see POCT devices from a number of potential suppliers and gained some very useful feedback, which will be used to help choose the best equipment for the Trust.</w:t>
      </w:r>
    </w:p>
    <w:p w:rsidR="008E224C" w:rsidRDefault="008E224C" w:rsidP="00D53E91">
      <w:pPr>
        <w:ind w:left="240"/>
        <w:jc w:val="both"/>
        <w:rPr>
          <w:rFonts w:cs="Arial"/>
          <w:sz w:val="20"/>
        </w:rPr>
      </w:pPr>
    </w:p>
    <w:p w:rsidR="008E224C" w:rsidRPr="00750B2B" w:rsidRDefault="008E224C" w:rsidP="00D53E91">
      <w:pPr>
        <w:ind w:left="240"/>
        <w:jc w:val="both"/>
        <w:rPr>
          <w:rFonts w:cs="Arial"/>
          <w:sz w:val="20"/>
        </w:rPr>
      </w:pPr>
      <w:r w:rsidRPr="00750B2B">
        <w:rPr>
          <w:rFonts w:cs="Arial"/>
          <w:sz w:val="20"/>
        </w:rPr>
        <w:t xml:space="preserve">If </w:t>
      </w:r>
      <w:r>
        <w:rPr>
          <w:rFonts w:cs="Arial"/>
          <w:sz w:val="20"/>
        </w:rPr>
        <w:t xml:space="preserve">the final business case is </w:t>
      </w:r>
      <w:r w:rsidRPr="00750B2B">
        <w:rPr>
          <w:rFonts w:cs="Arial"/>
          <w:sz w:val="20"/>
        </w:rPr>
        <w:t>approved this would enable phased replacement of old and obsolete equipment with new state of the art equipment capable of networking with the Trust’s new POCT IT system (Conworx).  New analysers capable of reading urine pregnancy tests and urine dipsticks in all high risk areas have been included.</w:t>
      </w:r>
    </w:p>
    <w:p w:rsidR="008E224C" w:rsidRPr="00750B2B" w:rsidRDefault="008E224C" w:rsidP="00D53E91">
      <w:pPr>
        <w:ind w:left="240"/>
        <w:jc w:val="both"/>
        <w:rPr>
          <w:rFonts w:cs="Arial"/>
          <w:sz w:val="20"/>
        </w:rPr>
      </w:pPr>
    </w:p>
    <w:p w:rsidR="008E224C" w:rsidRPr="00750B2B" w:rsidRDefault="008E224C" w:rsidP="00D53E91">
      <w:pPr>
        <w:ind w:left="240"/>
        <w:jc w:val="both"/>
        <w:rPr>
          <w:rFonts w:cs="Arial"/>
          <w:sz w:val="20"/>
        </w:rPr>
      </w:pPr>
      <w:r w:rsidRPr="00750B2B">
        <w:rPr>
          <w:rFonts w:cs="Arial"/>
          <w:b/>
          <w:sz w:val="20"/>
        </w:rPr>
        <w:t>Accreditation of POCT:</w:t>
      </w:r>
      <w:r>
        <w:rPr>
          <w:rFonts w:cs="Arial"/>
          <w:sz w:val="20"/>
        </w:rPr>
        <w:t>, T</w:t>
      </w:r>
      <w:r w:rsidRPr="00750B2B">
        <w:rPr>
          <w:rFonts w:cs="Arial"/>
          <w:sz w:val="20"/>
        </w:rPr>
        <w:t xml:space="preserve">he POCT team </w:t>
      </w:r>
      <w:r>
        <w:rPr>
          <w:rFonts w:cs="Arial"/>
          <w:sz w:val="20"/>
        </w:rPr>
        <w:t>has set a target of applying for accreditation of POCT by the United Kingdom Accreditation Service (UKAS) by the end of 2014.</w:t>
      </w:r>
      <w:r w:rsidRPr="00750B2B">
        <w:rPr>
          <w:rFonts w:cs="Arial"/>
          <w:sz w:val="20"/>
        </w:rPr>
        <w:t xml:space="preserve"> Widespread implementation of networkable devices is a major step towards this.</w:t>
      </w:r>
      <w:r>
        <w:rPr>
          <w:rFonts w:cs="Arial"/>
          <w:sz w:val="20"/>
        </w:rPr>
        <w:t xml:space="preserve">  If successful, we would be one of the first large multi-site Trust to gain accreditation for POCT.</w:t>
      </w:r>
    </w:p>
    <w:p w:rsidR="008E224C" w:rsidRDefault="008E224C" w:rsidP="00D53E91">
      <w:pPr>
        <w:ind w:left="240"/>
        <w:jc w:val="both"/>
      </w:pPr>
    </w:p>
    <w:p w:rsidR="008E224C" w:rsidRDefault="008E224C" w:rsidP="00D53E91">
      <w:pPr>
        <w:ind w:left="240"/>
        <w:jc w:val="both"/>
      </w:pPr>
    </w:p>
    <w:p w:rsidR="00884193" w:rsidRPr="005D1E5E" w:rsidRDefault="00884193" w:rsidP="00D53E91">
      <w:pPr>
        <w:ind w:left="240"/>
        <w:jc w:val="both"/>
        <w:rPr>
          <w:rFonts w:cs="Arial"/>
          <w:b/>
          <w:szCs w:val="24"/>
        </w:rPr>
      </w:pPr>
      <w:r w:rsidRPr="005D1E5E">
        <w:rPr>
          <w:rFonts w:cs="Arial"/>
          <w:b/>
          <w:szCs w:val="24"/>
        </w:rPr>
        <w:t xml:space="preserve">7. </w:t>
      </w:r>
      <w:r w:rsidR="008E224C">
        <w:rPr>
          <w:rFonts w:cs="Arial"/>
          <w:b/>
          <w:szCs w:val="24"/>
        </w:rPr>
        <w:tab/>
      </w:r>
      <w:r w:rsidRPr="005D1E5E">
        <w:rPr>
          <w:rFonts w:cs="Arial"/>
          <w:b/>
          <w:szCs w:val="24"/>
        </w:rPr>
        <w:t>Medical Devices Training</w:t>
      </w:r>
    </w:p>
    <w:p w:rsidR="00884193" w:rsidRPr="005D1E5E" w:rsidRDefault="00884193" w:rsidP="00D53E91">
      <w:pPr>
        <w:ind w:left="240"/>
        <w:jc w:val="both"/>
        <w:rPr>
          <w:rFonts w:cs="Arial"/>
          <w:b/>
          <w:szCs w:val="24"/>
        </w:rPr>
      </w:pPr>
    </w:p>
    <w:p w:rsidR="00884193" w:rsidRPr="00750B2B" w:rsidRDefault="00884193" w:rsidP="00D53E91">
      <w:pPr>
        <w:ind w:left="240"/>
        <w:jc w:val="both"/>
        <w:rPr>
          <w:rFonts w:cs="Arial"/>
          <w:sz w:val="20"/>
        </w:rPr>
      </w:pPr>
      <w:r w:rsidRPr="00750B2B">
        <w:rPr>
          <w:rFonts w:cs="Arial"/>
          <w:sz w:val="20"/>
        </w:rPr>
        <w:t>Medical device training is compliant with CQC outcome 11 regulation 16, and NHSLA standards, level 5.5. This was achieved in July 2012.</w:t>
      </w:r>
    </w:p>
    <w:p w:rsidR="00884193" w:rsidRPr="00750B2B" w:rsidRDefault="00884193" w:rsidP="00D53E91">
      <w:pPr>
        <w:ind w:left="240"/>
        <w:jc w:val="both"/>
        <w:rPr>
          <w:rFonts w:cs="Arial"/>
          <w:sz w:val="20"/>
        </w:rPr>
      </w:pPr>
      <w:r w:rsidRPr="00750B2B">
        <w:rPr>
          <w:rFonts w:cs="Arial"/>
          <w:sz w:val="20"/>
        </w:rPr>
        <w:t xml:space="preserve">To comply with Healthcare Standards and patient safety, all staff using medical devices must access appropriate training as required to ensure competency before using any high risk device as per HEFT policy. All staff undergo a self assessment process at induction and the assessment is reviewed annually through the appraisal process.  </w:t>
      </w:r>
    </w:p>
    <w:p w:rsidR="00884193" w:rsidRDefault="00884193" w:rsidP="00D53E91">
      <w:pPr>
        <w:ind w:left="240"/>
        <w:jc w:val="both"/>
        <w:rPr>
          <w:rFonts w:cs="Arial"/>
          <w:sz w:val="20"/>
        </w:rPr>
      </w:pPr>
      <w:r w:rsidRPr="00750B2B">
        <w:rPr>
          <w:rFonts w:cs="Arial"/>
          <w:sz w:val="20"/>
        </w:rPr>
        <w:t>Faculty Educators located within the Professional Education team, who specialise in medical devices training and education, have responsibility for planning, organising and facilitating Trust-wide programmes. The team audits, verifies and monitors the training provision from internal/core trainers and external company representatives which is collated and located on a centralised training database.</w:t>
      </w:r>
    </w:p>
    <w:p w:rsidR="00884193" w:rsidRPr="0006153A" w:rsidRDefault="00884193" w:rsidP="00D53E91">
      <w:pPr>
        <w:ind w:left="240"/>
        <w:jc w:val="both"/>
        <w:rPr>
          <w:rFonts w:cs="Arial"/>
          <w:sz w:val="20"/>
        </w:rPr>
      </w:pPr>
    </w:p>
    <w:p w:rsidR="00884193" w:rsidRPr="0006153A" w:rsidRDefault="00884193" w:rsidP="00D53E91">
      <w:pPr>
        <w:ind w:left="240"/>
        <w:jc w:val="both"/>
        <w:rPr>
          <w:b/>
          <w:sz w:val="20"/>
        </w:rPr>
      </w:pPr>
      <w:r w:rsidRPr="0006153A">
        <w:rPr>
          <w:b/>
          <w:sz w:val="20"/>
        </w:rPr>
        <w:t>Key Training outcomes for 2013</w:t>
      </w:r>
    </w:p>
    <w:p w:rsidR="00884193" w:rsidRPr="0006153A" w:rsidRDefault="00884193" w:rsidP="00D53E91">
      <w:pPr>
        <w:ind w:left="240"/>
        <w:jc w:val="both"/>
        <w:rPr>
          <w:sz w:val="20"/>
        </w:rPr>
      </w:pPr>
    </w:p>
    <w:p w:rsidR="00884193" w:rsidRPr="0006153A" w:rsidRDefault="00884193" w:rsidP="00D53E91">
      <w:pPr>
        <w:ind w:left="240"/>
        <w:jc w:val="both"/>
        <w:rPr>
          <w:sz w:val="20"/>
        </w:rPr>
      </w:pPr>
      <w:r w:rsidRPr="0006153A">
        <w:rPr>
          <w:sz w:val="20"/>
        </w:rPr>
        <w:t xml:space="preserve">Infusion device education within the Faculty Principles and Practice of IV Therapy course has been reviewed on evaluation of learner feedback. Education will now take place outside of the course contact day following successful completion of the course. In order to safeguard compliance this has been written into the competence document and has been accepted by the curriculum development board. </w:t>
      </w:r>
    </w:p>
    <w:p w:rsidR="00884193" w:rsidRPr="0006153A" w:rsidRDefault="00884193" w:rsidP="00D53E91">
      <w:pPr>
        <w:ind w:left="240"/>
        <w:jc w:val="both"/>
        <w:rPr>
          <w:sz w:val="20"/>
        </w:rPr>
      </w:pPr>
    </w:p>
    <w:p w:rsidR="00884193" w:rsidRDefault="00884193" w:rsidP="00D53E91">
      <w:pPr>
        <w:ind w:left="240"/>
        <w:jc w:val="both"/>
        <w:rPr>
          <w:sz w:val="20"/>
        </w:rPr>
      </w:pPr>
      <w:r w:rsidRPr="0006153A">
        <w:rPr>
          <w:sz w:val="20"/>
        </w:rPr>
        <w:t xml:space="preserve">Collaboration with </w:t>
      </w:r>
      <w:r w:rsidR="00624942" w:rsidRPr="0006153A">
        <w:rPr>
          <w:sz w:val="20"/>
        </w:rPr>
        <w:t>Carefu</w:t>
      </w:r>
      <w:r w:rsidR="00624942">
        <w:rPr>
          <w:sz w:val="20"/>
        </w:rPr>
        <w:t>s</w:t>
      </w:r>
      <w:r w:rsidR="00624942" w:rsidRPr="0006153A">
        <w:rPr>
          <w:sz w:val="20"/>
        </w:rPr>
        <w:t>ion</w:t>
      </w:r>
      <w:r w:rsidRPr="0006153A">
        <w:rPr>
          <w:sz w:val="20"/>
        </w:rPr>
        <w:t xml:space="preserve"> educators continues in order to meet required training targets required for safe introduction of the Alaris SE with Guardrail software.</w:t>
      </w:r>
    </w:p>
    <w:p w:rsidR="00884193" w:rsidRDefault="00884193" w:rsidP="00884193">
      <w:pPr>
        <w:rPr>
          <w:sz w:val="20"/>
        </w:rPr>
      </w:pPr>
    </w:p>
    <w:p w:rsidR="00884193" w:rsidRPr="0006153A" w:rsidRDefault="00884193" w:rsidP="00884193">
      <w:pPr>
        <w:rPr>
          <w:sz w:val="20"/>
        </w:rPr>
      </w:pPr>
      <w:r>
        <w:rPr>
          <w:noProof/>
          <w:sz w:val="20"/>
          <w:lang w:eastAsia="en-GB"/>
        </w:rPr>
        <w:drawing>
          <wp:inline distT="0" distB="0" distL="0" distR="0">
            <wp:extent cx="5929411" cy="1644176"/>
            <wp:effectExtent l="15809" t="3649" r="7905"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84193" w:rsidRPr="0006153A" w:rsidRDefault="00884193" w:rsidP="00884193">
      <w:pPr>
        <w:rPr>
          <w:sz w:val="20"/>
        </w:rPr>
      </w:pPr>
    </w:p>
    <w:p w:rsidR="00884193" w:rsidRPr="0006153A" w:rsidRDefault="00884193" w:rsidP="00D53E91">
      <w:pPr>
        <w:jc w:val="both"/>
        <w:rPr>
          <w:sz w:val="20"/>
        </w:rPr>
      </w:pPr>
      <w:r w:rsidRPr="0006153A">
        <w:rPr>
          <w:sz w:val="20"/>
        </w:rPr>
        <w:t xml:space="preserve">3 x Core trainer study days have been provided with a total of 60 places and 43 booked to attend. Content and current provision is currently under review as part of annual quality assurance and enhanced awareness of Core trainer numbers per clinical area. </w:t>
      </w:r>
    </w:p>
    <w:p w:rsidR="00884193" w:rsidRPr="0006153A" w:rsidRDefault="00884193" w:rsidP="00D53E91">
      <w:pPr>
        <w:jc w:val="both"/>
        <w:rPr>
          <w:sz w:val="20"/>
        </w:rPr>
      </w:pPr>
    </w:p>
    <w:p w:rsidR="00884193" w:rsidRPr="0006153A" w:rsidRDefault="00884193" w:rsidP="00D53E91">
      <w:pPr>
        <w:jc w:val="both"/>
        <w:rPr>
          <w:sz w:val="20"/>
        </w:rPr>
      </w:pPr>
      <w:r w:rsidRPr="0006153A">
        <w:rPr>
          <w:sz w:val="20"/>
        </w:rPr>
        <w:t xml:space="preserve">6 x New Starter / Introduction to Medical Device study days have been provided with a total of 120 places and 69 staff booked to attend. Following annual review and feedback from ward managers this course will be replaced by Infusion Device Workshops and Theory and Practice Medical Device Workshops which will also incorporate oxygen and suction. </w:t>
      </w:r>
    </w:p>
    <w:p w:rsidR="00884193" w:rsidRPr="0006153A" w:rsidRDefault="00884193" w:rsidP="00D53E91">
      <w:pPr>
        <w:jc w:val="both"/>
        <w:rPr>
          <w:sz w:val="20"/>
        </w:rPr>
      </w:pPr>
    </w:p>
    <w:p w:rsidR="00884193" w:rsidRPr="0006153A" w:rsidRDefault="00884193" w:rsidP="00D53E91">
      <w:pPr>
        <w:jc w:val="both"/>
        <w:rPr>
          <w:sz w:val="20"/>
        </w:rPr>
      </w:pPr>
      <w:r w:rsidRPr="0006153A">
        <w:rPr>
          <w:sz w:val="20"/>
        </w:rPr>
        <w:t xml:space="preserve">4 x Introduction to oxygen and suction study days have been provided with a total of 60 places available and 12 booked to attend.  </w:t>
      </w:r>
    </w:p>
    <w:p w:rsidR="00884193" w:rsidRPr="0006153A" w:rsidRDefault="00884193" w:rsidP="00D53E91">
      <w:pPr>
        <w:jc w:val="both"/>
        <w:rPr>
          <w:sz w:val="20"/>
        </w:rPr>
      </w:pPr>
    </w:p>
    <w:p w:rsidR="00884193" w:rsidRPr="0006153A" w:rsidRDefault="00884193" w:rsidP="00D53E91">
      <w:pPr>
        <w:jc w:val="both"/>
        <w:rPr>
          <w:sz w:val="20"/>
        </w:rPr>
      </w:pPr>
      <w:r w:rsidRPr="0006153A">
        <w:rPr>
          <w:sz w:val="20"/>
        </w:rPr>
        <w:t xml:space="preserve">Verathon continue to provide bladder scanner training.  FEMD have provided ongoing support and training for unplanned enquires by liaising with specialist nurses within the Trust, Company Educators or providing direct education. Typical examples include: portable ventilators, Bair Huggers and blood warming devices. </w:t>
      </w:r>
    </w:p>
    <w:p w:rsidR="00884193" w:rsidRDefault="00884193" w:rsidP="00D53E91">
      <w:pPr>
        <w:jc w:val="both"/>
        <w:rPr>
          <w:sz w:val="20"/>
        </w:rPr>
      </w:pPr>
    </w:p>
    <w:p w:rsidR="00884193" w:rsidRDefault="00884193" w:rsidP="00D53E91">
      <w:pPr>
        <w:jc w:val="both"/>
        <w:rPr>
          <w:sz w:val="20"/>
        </w:rPr>
      </w:pPr>
      <w:r w:rsidRPr="0006153A">
        <w:rPr>
          <w:sz w:val="20"/>
        </w:rPr>
        <w:t>Amended audit process has facilitated an enhanced awareness of th</w:t>
      </w:r>
      <w:r>
        <w:rPr>
          <w:sz w:val="20"/>
        </w:rPr>
        <w:t>e Medical Device Training Team; the p</w:t>
      </w:r>
      <w:r w:rsidRPr="0006153A">
        <w:rPr>
          <w:sz w:val="20"/>
        </w:rPr>
        <w:t xml:space="preserve">rogress </w:t>
      </w:r>
      <w:r>
        <w:rPr>
          <w:sz w:val="20"/>
        </w:rPr>
        <w:t>to</w:t>
      </w:r>
      <w:r w:rsidRPr="0006153A">
        <w:rPr>
          <w:sz w:val="20"/>
        </w:rPr>
        <w:t xml:space="preserve"> </w:t>
      </w:r>
      <w:r>
        <w:rPr>
          <w:sz w:val="20"/>
        </w:rPr>
        <w:t xml:space="preserve">the </w:t>
      </w:r>
      <w:r w:rsidRPr="0006153A">
        <w:rPr>
          <w:sz w:val="20"/>
        </w:rPr>
        <w:t xml:space="preserve">end of </w:t>
      </w:r>
      <w:r>
        <w:rPr>
          <w:sz w:val="20"/>
        </w:rPr>
        <w:t>December</w:t>
      </w:r>
      <w:r w:rsidRPr="0006153A">
        <w:rPr>
          <w:sz w:val="20"/>
        </w:rPr>
        <w:t xml:space="preserve"> 2013 is as follows: </w:t>
      </w:r>
    </w:p>
    <w:p w:rsidR="00884193" w:rsidRDefault="00884193" w:rsidP="00884193">
      <w:pPr>
        <w:rPr>
          <w:sz w:val="20"/>
        </w:rPr>
      </w:pPr>
    </w:p>
    <w:p w:rsidR="00884193" w:rsidRDefault="0023003A" w:rsidP="00884193">
      <w:pPr>
        <w:rPr>
          <w:noProof/>
          <w:sz w:val="20"/>
          <w:lang w:val="en-US"/>
        </w:rPr>
      </w:pPr>
      <w:r w:rsidRPr="0023003A">
        <w:rPr>
          <w:noProof/>
          <w:sz w:val="20"/>
          <w:lang w:val="en-US"/>
        </w:rPr>
        <w:pict>
          <v:shape id="_x0000_s1177" type="#_x0000_t202" style="position:absolute;margin-left:-39.75pt;margin-top:3pt;width:328.05pt;height:174.45pt;z-index:251661312;mso-wrap-style:none" filled="f" stroked="f">
            <v:textbox style="mso-fit-shape-to-text:t">
              <w:txbxContent>
                <w:p w:rsidR="00624942" w:rsidRDefault="00624942" w:rsidP="00884193">
                  <w:r>
                    <w:rPr>
                      <w:noProof/>
                      <w:sz w:val="20"/>
                      <w:lang w:eastAsia="en-GB"/>
                    </w:rPr>
                    <w:drawing>
                      <wp:inline distT="0" distB="0" distL="0" distR="0">
                        <wp:extent cx="3976152" cy="2124075"/>
                        <wp:effectExtent l="5298" t="0" r="0" b="0"/>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r w:rsidRPr="0023003A">
        <w:rPr>
          <w:noProof/>
          <w:sz w:val="20"/>
          <w:lang w:val="en-US"/>
        </w:rPr>
        <w:pict>
          <v:shape id="_x0000_s1176" type="#_x0000_t202" style="position:absolute;margin-left:294pt;margin-top:8.75pt;width:218.25pt;height:126pt;z-index:251660288" filled="f" stroked="f">
            <v:textbox>
              <w:txbxContent>
                <w:tbl>
                  <w:tblPr>
                    <w:tblW w:w="4077" w:type="dxa"/>
                    <w:tblBorders>
                      <w:top w:val="single" w:sz="8" w:space="0" w:color="000000"/>
                      <w:left w:val="single" w:sz="8" w:space="0" w:color="000000"/>
                      <w:bottom w:val="single" w:sz="8" w:space="0" w:color="000000"/>
                      <w:right w:val="single" w:sz="8" w:space="0" w:color="000000"/>
                    </w:tblBorders>
                    <w:tblLook w:val="04A0"/>
                  </w:tblPr>
                  <w:tblGrid>
                    <w:gridCol w:w="939"/>
                    <w:gridCol w:w="1163"/>
                    <w:gridCol w:w="1033"/>
                    <w:gridCol w:w="1117"/>
                  </w:tblGrid>
                  <w:tr w:rsidR="00624942" w:rsidRPr="00A526C9" w:rsidTr="00884193">
                    <w:trPr>
                      <w:trHeight w:val="323"/>
                    </w:trPr>
                    <w:tc>
                      <w:tcPr>
                        <w:tcW w:w="939" w:type="dxa"/>
                        <w:tcBorders>
                          <w:top w:val="nil"/>
                          <w:left w:val="nil"/>
                          <w:bottom w:val="single" w:sz="24" w:space="0" w:color="000000"/>
                          <w:right w:val="nil"/>
                        </w:tcBorders>
                        <w:shd w:val="clear" w:color="auto" w:fill="FFFFFF"/>
                        <w:noWrap/>
                        <w:hideMark/>
                      </w:tcPr>
                      <w:p w:rsidR="00624942" w:rsidRPr="00A526C9" w:rsidRDefault="00624942" w:rsidP="00884193">
                        <w:pPr>
                          <w:jc w:val="center"/>
                          <w:rPr>
                            <w:rFonts w:cs="Arial"/>
                            <w:b/>
                            <w:bCs/>
                            <w:color w:val="000000"/>
                            <w:sz w:val="18"/>
                            <w:szCs w:val="18"/>
                            <w:lang w:val="en-US"/>
                          </w:rPr>
                        </w:pPr>
                      </w:p>
                    </w:tc>
                    <w:tc>
                      <w:tcPr>
                        <w:tcW w:w="1163" w:type="dxa"/>
                        <w:tcBorders>
                          <w:top w:val="nil"/>
                          <w:left w:val="nil"/>
                          <w:bottom w:val="single" w:sz="24" w:space="0" w:color="000000"/>
                          <w:right w:val="nil"/>
                        </w:tcBorders>
                        <w:shd w:val="clear" w:color="auto" w:fill="FFFFFF"/>
                        <w:noWrap/>
                        <w:hideMark/>
                      </w:tcPr>
                      <w:p w:rsidR="00624942" w:rsidRPr="00A526C9" w:rsidRDefault="00624942" w:rsidP="00884193">
                        <w:pPr>
                          <w:jc w:val="center"/>
                          <w:rPr>
                            <w:rFonts w:cs="Arial"/>
                            <w:b/>
                            <w:bCs/>
                            <w:color w:val="000000"/>
                            <w:sz w:val="18"/>
                            <w:szCs w:val="18"/>
                            <w:lang w:val="en-US"/>
                          </w:rPr>
                        </w:pPr>
                      </w:p>
                      <w:p w:rsidR="00624942" w:rsidRPr="00A526C9" w:rsidRDefault="00624942" w:rsidP="00884193">
                        <w:pPr>
                          <w:jc w:val="center"/>
                          <w:rPr>
                            <w:rFonts w:cs="Arial"/>
                            <w:b/>
                            <w:bCs/>
                            <w:color w:val="000000"/>
                            <w:sz w:val="18"/>
                            <w:szCs w:val="18"/>
                            <w:lang w:val="en-US"/>
                          </w:rPr>
                        </w:pPr>
                        <w:r w:rsidRPr="00A526C9">
                          <w:rPr>
                            <w:rFonts w:cs="Arial"/>
                            <w:b/>
                            <w:bCs/>
                            <w:color w:val="000000"/>
                            <w:sz w:val="18"/>
                            <w:szCs w:val="18"/>
                            <w:lang w:val="en-US"/>
                          </w:rPr>
                          <w:t>Completed</w:t>
                        </w:r>
                      </w:p>
                    </w:tc>
                    <w:tc>
                      <w:tcPr>
                        <w:tcW w:w="1033" w:type="dxa"/>
                        <w:tcBorders>
                          <w:top w:val="nil"/>
                          <w:left w:val="nil"/>
                          <w:bottom w:val="single" w:sz="24" w:space="0" w:color="000000"/>
                          <w:right w:val="nil"/>
                        </w:tcBorders>
                        <w:shd w:val="clear" w:color="auto" w:fill="FFFFFF"/>
                        <w:noWrap/>
                        <w:hideMark/>
                      </w:tcPr>
                      <w:p w:rsidR="00624942" w:rsidRPr="00A526C9" w:rsidRDefault="00624942" w:rsidP="00884193">
                        <w:pPr>
                          <w:jc w:val="center"/>
                          <w:rPr>
                            <w:rFonts w:cs="Arial"/>
                            <w:b/>
                            <w:bCs/>
                            <w:color w:val="000000"/>
                            <w:sz w:val="18"/>
                            <w:szCs w:val="18"/>
                            <w:lang w:val="en-US"/>
                          </w:rPr>
                        </w:pPr>
                      </w:p>
                      <w:p w:rsidR="00624942" w:rsidRPr="00A526C9" w:rsidRDefault="00624942" w:rsidP="00884193">
                        <w:pPr>
                          <w:rPr>
                            <w:rFonts w:cs="Arial"/>
                            <w:b/>
                            <w:bCs/>
                            <w:color w:val="000000"/>
                            <w:sz w:val="18"/>
                            <w:szCs w:val="18"/>
                            <w:lang w:val="en-US"/>
                          </w:rPr>
                        </w:pPr>
                        <w:r w:rsidRPr="00A526C9">
                          <w:rPr>
                            <w:rFonts w:cs="Arial"/>
                            <w:b/>
                            <w:bCs/>
                            <w:color w:val="000000"/>
                            <w:sz w:val="18"/>
                            <w:szCs w:val="18"/>
                            <w:lang w:val="en-US"/>
                          </w:rPr>
                          <w:t>Ongoing</w:t>
                        </w:r>
                      </w:p>
                    </w:tc>
                    <w:tc>
                      <w:tcPr>
                        <w:tcW w:w="942" w:type="dxa"/>
                        <w:tcBorders>
                          <w:top w:val="nil"/>
                          <w:left w:val="nil"/>
                          <w:bottom w:val="single" w:sz="24" w:space="0" w:color="000000"/>
                          <w:right w:val="nil"/>
                        </w:tcBorders>
                        <w:shd w:val="clear" w:color="auto" w:fill="FFFFFF"/>
                        <w:noWrap/>
                        <w:hideMark/>
                      </w:tcPr>
                      <w:p w:rsidR="00624942" w:rsidRPr="00A526C9" w:rsidRDefault="00624942" w:rsidP="00884193">
                        <w:pPr>
                          <w:jc w:val="center"/>
                          <w:rPr>
                            <w:rFonts w:cs="Arial"/>
                            <w:b/>
                            <w:bCs/>
                            <w:color w:val="000000"/>
                            <w:sz w:val="18"/>
                            <w:szCs w:val="18"/>
                            <w:lang w:val="en-US"/>
                          </w:rPr>
                        </w:pPr>
                        <w:r w:rsidRPr="00A526C9">
                          <w:rPr>
                            <w:rFonts w:cs="Arial"/>
                            <w:b/>
                            <w:bCs/>
                            <w:color w:val="000000"/>
                            <w:sz w:val="18"/>
                            <w:szCs w:val="18"/>
                            <w:lang w:val="en-US"/>
                          </w:rPr>
                          <w:t>Did not engage - to be re-addressed in 2014</w:t>
                        </w:r>
                      </w:p>
                    </w:tc>
                  </w:tr>
                  <w:tr w:rsidR="00624942" w:rsidRPr="00A526C9" w:rsidTr="00884193">
                    <w:trPr>
                      <w:trHeight w:val="323"/>
                    </w:trPr>
                    <w:tc>
                      <w:tcPr>
                        <w:tcW w:w="939" w:type="dxa"/>
                        <w:tcBorders>
                          <w:top w:val="nil"/>
                          <w:left w:val="nil"/>
                          <w:bottom w:val="nil"/>
                          <w:right w:val="single" w:sz="8" w:space="0" w:color="000000"/>
                        </w:tcBorders>
                        <w:shd w:val="clear" w:color="auto" w:fill="FFFFFF"/>
                        <w:noWrap/>
                        <w:hideMark/>
                      </w:tcPr>
                      <w:p w:rsidR="00624942" w:rsidRPr="00A526C9" w:rsidRDefault="00624942" w:rsidP="00884193">
                        <w:pPr>
                          <w:jc w:val="center"/>
                          <w:rPr>
                            <w:rFonts w:cs="Arial"/>
                            <w:b/>
                            <w:bCs/>
                            <w:color w:val="000000"/>
                            <w:sz w:val="18"/>
                            <w:szCs w:val="18"/>
                            <w:lang w:val="en-US"/>
                          </w:rPr>
                        </w:pPr>
                        <w:r w:rsidRPr="00A526C9">
                          <w:rPr>
                            <w:rFonts w:cs="Arial"/>
                            <w:b/>
                            <w:bCs/>
                            <w:color w:val="000000"/>
                            <w:sz w:val="18"/>
                            <w:szCs w:val="18"/>
                            <w:lang w:val="en-US"/>
                          </w:rPr>
                          <w:t>GHH</w:t>
                        </w:r>
                      </w:p>
                    </w:tc>
                    <w:tc>
                      <w:tcPr>
                        <w:tcW w:w="1163" w:type="dxa"/>
                        <w:tcBorders>
                          <w:top w:val="nil"/>
                          <w:left w:val="nil"/>
                          <w:bottom w:val="nil"/>
                          <w:right w:val="nil"/>
                        </w:tcBorders>
                        <w:shd w:val="clear" w:color="auto" w:fill="C0C0C0"/>
                        <w:noWrap/>
                        <w:hideMark/>
                      </w:tcPr>
                      <w:p w:rsidR="00624942" w:rsidRPr="00A526C9" w:rsidRDefault="00624942" w:rsidP="00884193">
                        <w:pPr>
                          <w:jc w:val="center"/>
                          <w:rPr>
                            <w:rFonts w:cs="Arial"/>
                            <w:color w:val="000000"/>
                            <w:sz w:val="18"/>
                            <w:szCs w:val="18"/>
                            <w:lang w:val="en-US"/>
                          </w:rPr>
                        </w:pPr>
                        <w:r w:rsidRPr="00A526C9">
                          <w:rPr>
                            <w:rFonts w:cs="Arial"/>
                            <w:color w:val="000000"/>
                            <w:sz w:val="18"/>
                            <w:szCs w:val="18"/>
                            <w:lang w:val="en-US"/>
                          </w:rPr>
                          <w:t>5</w:t>
                        </w:r>
                      </w:p>
                    </w:tc>
                    <w:tc>
                      <w:tcPr>
                        <w:tcW w:w="1033" w:type="dxa"/>
                        <w:tcBorders>
                          <w:top w:val="nil"/>
                          <w:left w:val="nil"/>
                          <w:bottom w:val="nil"/>
                          <w:right w:val="nil"/>
                        </w:tcBorders>
                        <w:shd w:val="clear" w:color="auto" w:fill="C0C0C0"/>
                        <w:noWrap/>
                        <w:hideMark/>
                      </w:tcPr>
                      <w:p w:rsidR="00624942" w:rsidRPr="00A526C9" w:rsidRDefault="00624942" w:rsidP="00884193">
                        <w:pPr>
                          <w:jc w:val="center"/>
                          <w:rPr>
                            <w:rFonts w:cs="Arial"/>
                            <w:color w:val="000000"/>
                            <w:sz w:val="18"/>
                            <w:szCs w:val="18"/>
                            <w:lang w:val="en-US"/>
                          </w:rPr>
                        </w:pPr>
                        <w:r w:rsidRPr="00A526C9">
                          <w:rPr>
                            <w:rFonts w:cs="Arial"/>
                            <w:color w:val="000000"/>
                            <w:sz w:val="18"/>
                            <w:szCs w:val="18"/>
                            <w:lang w:val="en-US"/>
                          </w:rPr>
                          <w:t>20</w:t>
                        </w:r>
                      </w:p>
                    </w:tc>
                    <w:tc>
                      <w:tcPr>
                        <w:tcW w:w="942" w:type="dxa"/>
                        <w:tcBorders>
                          <w:top w:val="nil"/>
                          <w:left w:val="nil"/>
                          <w:bottom w:val="nil"/>
                        </w:tcBorders>
                        <w:shd w:val="clear" w:color="auto" w:fill="C0C0C0"/>
                        <w:noWrap/>
                        <w:hideMark/>
                      </w:tcPr>
                      <w:p w:rsidR="00624942" w:rsidRPr="00A526C9" w:rsidRDefault="00624942" w:rsidP="00884193">
                        <w:pPr>
                          <w:jc w:val="center"/>
                          <w:rPr>
                            <w:rFonts w:cs="Arial"/>
                            <w:color w:val="000000"/>
                            <w:sz w:val="18"/>
                            <w:szCs w:val="18"/>
                            <w:lang w:val="en-US"/>
                          </w:rPr>
                        </w:pPr>
                        <w:r w:rsidRPr="00A526C9">
                          <w:rPr>
                            <w:rFonts w:cs="Arial"/>
                            <w:color w:val="000000"/>
                            <w:sz w:val="18"/>
                            <w:szCs w:val="18"/>
                            <w:lang w:val="en-US"/>
                          </w:rPr>
                          <w:t>11</w:t>
                        </w:r>
                      </w:p>
                    </w:tc>
                  </w:tr>
                  <w:tr w:rsidR="00624942" w:rsidRPr="00A526C9" w:rsidTr="00884193">
                    <w:trPr>
                      <w:trHeight w:val="323"/>
                    </w:trPr>
                    <w:tc>
                      <w:tcPr>
                        <w:tcW w:w="939" w:type="dxa"/>
                        <w:tcBorders>
                          <w:left w:val="nil"/>
                          <w:bottom w:val="nil"/>
                          <w:right w:val="single" w:sz="8" w:space="0" w:color="000000"/>
                        </w:tcBorders>
                        <w:shd w:val="clear" w:color="auto" w:fill="FFFFFF"/>
                        <w:noWrap/>
                        <w:hideMark/>
                      </w:tcPr>
                      <w:p w:rsidR="00624942" w:rsidRPr="00A526C9" w:rsidRDefault="00624942" w:rsidP="00884193">
                        <w:pPr>
                          <w:jc w:val="center"/>
                          <w:rPr>
                            <w:rFonts w:cs="Arial"/>
                            <w:b/>
                            <w:bCs/>
                            <w:color w:val="000000"/>
                            <w:sz w:val="18"/>
                            <w:szCs w:val="18"/>
                            <w:lang w:val="en-US"/>
                          </w:rPr>
                        </w:pPr>
                        <w:r w:rsidRPr="00A526C9">
                          <w:rPr>
                            <w:rFonts w:cs="Arial"/>
                            <w:b/>
                            <w:bCs/>
                            <w:color w:val="000000"/>
                            <w:sz w:val="18"/>
                            <w:szCs w:val="18"/>
                            <w:lang w:val="en-US"/>
                          </w:rPr>
                          <w:t>SOL</w:t>
                        </w:r>
                      </w:p>
                    </w:tc>
                    <w:tc>
                      <w:tcPr>
                        <w:tcW w:w="1163" w:type="dxa"/>
                        <w:noWrap/>
                        <w:hideMark/>
                      </w:tcPr>
                      <w:p w:rsidR="00624942" w:rsidRPr="00A526C9" w:rsidRDefault="00624942" w:rsidP="00884193">
                        <w:pPr>
                          <w:jc w:val="center"/>
                          <w:rPr>
                            <w:rFonts w:cs="Arial"/>
                            <w:color w:val="000000"/>
                            <w:sz w:val="18"/>
                            <w:szCs w:val="18"/>
                            <w:lang w:val="en-US"/>
                          </w:rPr>
                        </w:pPr>
                        <w:r w:rsidRPr="00A526C9">
                          <w:rPr>
                            <w:rFonts w:cs="Arial"/>
                            <w:color w:val="000000"/>
                            <w:sz w:val="18"/>
                            <w:szCs w:val="18"/>
                            <w:lang w:val="en-US"/>
                          </w:rPr>
                          <w:t>14</w:t>
                        </w:r>
                      </w:p>
                    </w:tc>
                    <w:tc>
                      <w:tcPr>
                        <w:tcW w:w="1033" w:type="dxa"/>
                        <w:noWrap/>
                        <w:hideMark/>
                      </w:tcPr>
                      <w:p w:rsidR="00624942" w:rsidRPr="00A526C9" w:rsidRDefault="00624942" w:rsidP="00884193">
                        <w:pPr>
                          <w:jc w:val="center"/>
                          <w:rPr>
                            <w:rFonts w:cs="Arial"/>
                            <w:color w:val="000000"/>
                            <w:sz w:val="18"/>
                            <w:szCs w:val="18"/>
                            <w:lang w:val="en-US"/>
                          </w:rPr>
                        </w:pPr>
                        <w:r w:rsidRPr="00A526C9">
                          <w:rPr>
                            <w:rFonts w:cs="Arial"/>
                            <w:color w:val="000000"/>
                            <w:sz w:val="18"/>
                            <w:szCs w:val="18"/>
                            <w:lang w:val="en-US"/>
                          </w:rPr>
                          <w:t>14</w:t>
                        </w:r>
                      </w:p>
                    </w:tc>
                    <w:tc>
                      <w:tcPr>
                        <w:tcW w:w="942" w:type="dxa"/>
                        <w:noWrap/>
                        <w:hideMark/>
                      </w:tcPr>
                      <w:p w:rsidR="00624942" w:rsidRPr="00A526C9" w:rsidRDefault="00624942" w:rsidP="00884193">
                        <w:pPr>
                          <w:jc w:val="center"/>
                          <w:rPr>
                            <w:rFonts w:cs="Arial"/>
                            <w:color w:val="000000"/>
                            <w:sz w:val="18"/>
                            <w:szCs w:val="18"/>
                            <w:lang w:val="en-US"/>
                          </w:rPr>
                        </w:pPr>
                        <w:r w:rsidRPr="00A526C9">
                          <w:rPr>
                            <w:rFonts w:cs="Arial"/>
                            <w:color w:val="000000"/>
                            <w:sz w:val="18"/>
                            <w:szCs w:val="18"/>
                            <w:lang w:val="en-US"/>
                          </w:rPr>
                          <w:t>0</w:t>
                        </w:r>
                      </w:p>
                    </w:tc>
                  </w:tr>
                  <w:tr w:rsidR="00624942" w:rsidRPr="00A526C9" w:rsidTr="00884193">
                    <w:trPr>
                      <w:trHeight w:val="323"/>
                    </w:trPr>
                    <w:tc>
                      <w:tcPr>
                        <w:tcW w:w="939" w:type="dxa"/>
                        <w:tcBorders>
                          <w:top w:val="nil"/>
                          <w:left w:val="nil"/>
                          <w:bottom w:val="nil"/>
                          <w:right w:val="single" w:sz="8" w:space="0" w:color="000000"/>
                        </w:tcBorders>
                        <w:shd w:val="clear" w:color="auto" w:fill="FFFFFF"/>
                        <w:noWrap/>
                        <w:hideMark/>
                      </w:tcPr>
                      <w:p w:rsidR="00624942" w:rsidRPr="00A526C9" w:rsidRDefault="00624942" w:rsidP="00884193">
                        <w:pPr>
                          <w:jc w:val="center"/>
                          <w:rPr>
                            <w:rFonts w:cs="Arial"/>
                            <w:b/>
                            <w:bCs/>
                            <w:color w:val="000000"/>
                            <w:sz w:val="18"/>
                            <w:szCs w:val="18"/>
                            <w:lang w:val="en-US"/>
                          </w:rPr>
                        </w:pPr>
                        <w:r w:rsidRPr="00A526C9">
                          <w:rPr>
                            <w:rFonts w:cs="Arial"/>
                            <w:b/>
                            <w:bCs/>
                            <w:color w:val="000000"/>
                            <w:sz w:val="18"/>
                            <w:szCs w:val="18"/>
                            <w:lang w:val="en-US"/>
                          </w:rPr>
                          <w:t>BHH</w:t>
                        </w:r>
                      </w:p>
                    </w:tc>
                    <w:tc>
                      <w:tcPr>
                        <w:tcW w:w="1163" w:type="dxa"/>
                        <w:tcBorders>
                          <w:top w:val="nil"/>
                          <w:left w:val="nil"/>
                          <w:bottom w:val="nil"/>
                          <w:right w:val="nil"/>
                        </w:tcBorders>
                        <w:shd w:val="clear" w:color="auto" w:fill="C0C0C0"/>
                        <w:noWrap/>
                        <w:hideMark/>
                      </w:tcPr>
                      <w:p w:rsidR="00624942" w:rsidRPr="00A526C9" w:rsidRDefault="00624942" w:rsidP="00884193">
                        <w:pPr>
                          <w:jc w:val="center"/>
                          <w:rPr>
                            <w:rFonts w:cs="Arial"/>
                            <w:color w:val="000000"/>
                            <w:sz w:val="18"/>
                            <w:szCs w:val="18"/>
                            <w:lang w:val="en-US"/>
                          </w:rPr>
                        </w:pPr>
                        <w:r w:rsidRPr="00A526C9">
                          <w:rPr>
                            <w:rFonts w:cs="Arial"/>
                            <w:color w:val="000000"/>
                            <w:sz w:val="18"/>
                            <w:szCs w:val="18"/>
                            <w:lang w:val="en-US"/>
                          </w:rPr>
                          <w:t>26</w:t>
                        </w:r>
                      </w:p>
                    </w:tc>
                    <w:tc>
                      <w:tcPr>
                        <w:tcW w:w="1033" w:type="dxa"/>
                        <w:tcBorders>
                          <w:top w:val="nil"/>
                          <w:left w:val="nil"/>
                          <w:bottom w:val="nil"/>
                          <w:right w:val="nil"/>
                        </w:tcBorders>
                        <w:shd w:val="clear" w:color="auto" w:fill="C0C0C0"/>
                        <w:noWrap/>
                        <w:hideMark/>
                      </w:tcPr>
                      <w:p w:rsidR="00624942" w:rsidRPr="00A526C9" w:rsidRDefault="00624942" w:rsidP="00884193">
                        <w:pPr>
                          <w:jc w:val="center"/>
                          <w:rPr>
                            <w:rFonts w:cs="Arial"/>
                            <w:color w:val="000000"/>
                            <w:sz w:val="18"/>
                            <w:szCs w:val="18"/>
                            <w:lang w:val="en-US"/>
                          </w:rPr>
                        </w:pPr>
                        <w:r w:rsidRPr="00A526C9">
                          <w:rPr>
                            <w:rFonts w:cs="Arial"/>
                            <w:color w:val="000000"/>
                            <w:sz w:val="18"/>
                            <w:szCs w:val="18"/>
                            <w:lang w:val="en-US"/>
                          </w:rPr>
                          <w:t>23</w:t>
                        </w:r>
                      </w:p>
                    </w:tc>
                    <w:tc>
                      <w:tcPr>
                        <w:tcW w:w="942" w:type="dxa"/>
                        <w:tcBorders>
                          <w:top w:val="nil"/>
                          <w:left w:val="nil"/>
                          <w:bottom w:val="nil"/>
                        </w:tcBorders>
                        <w:shd w:val="clear" w:color="auto" w:fill="C0C0C0"/>
                        <w:noWrap/>
                        <w:hideMark/>
                      </w:tcPr>
                      <w:p w:rsidR="00624942" w:rsidRPr="00A526C9" w:rsidRDefault="00624942" w:rsidP="00884193">
                        <w:pPr>
                          <w:jc w:val="center"/>
                          <w:rPr>
                            <w:rFonts w:cs="Arial"/>
                            <w:color w:val="000000"/>
                            <w:sz w:val="18"/>
                            <w:szCs w:val="18"/>
                            <w:lang w:val="en-US"/>
                          </w:rPr>
                        </w:pPr>
                        <w:r w:rsidRPr="00A526C9">
                          <w:rPr>
                            <w:rFonts w:cs="Arial"/>
                            <w:color w:val="000000"/>
                            <w:sz w:val="18"/>
                            <w:szCs w:val="18"/>
                            <w:lang w:val="en-US"/>
                          </w:rPr>
                          <w:t>11</w:t>
                        </w:r>
                      </w:p>
                    </w:tc>
                  </w:tr>
                </w:tbl>
                <w:p w:rsidR="00624942" w:rsidRDefault="00624942" w:rsidP="00884193"/>
              </w:txbxContent>
            </v:textbox>
          </v:shape>
        </w:pict>
      </w:r>
    </w:p>
    <w:p w:rsidR="00884193" w:rsidRDefault="00884193" w:rsidP="00884193">
      <w:pPr>
        <w:rPr>
          <w:noProof/>
          <w:sz w:val="20"/>
          <w:lang w:val="en-US"/>
        </w:rPr>
      </w:pPr>
    </w:p>
    <w:p w:rsidR="00884193" w:rsidRDefault="00884193" w:rsidP="00884193">
      <w:pPr>
        <w:rPr>
          <w:noProof/>
          <w:sz w:val="20"/>
          <w:lang w:val="en-US"/>
        </w:rPr>
      </w:pPr>
    </w:p>
    <w:p w:rsidR="00884193" w:rsidRDefault="00884193" w:rsidP="00884193">
      <w:pPr>
        <w:rPr>
          <w:noProof/>
          <w:sz w:val="20"/>
          <w:lang w:val="en-US"/>
        </w:rPr>
      </w:pPr>
    </w:p>
    <w:p w:rsidR="00884193" w:rsidRDefault="00884193" w:rsidP="00884193">
      <w:pPr>
        <w:rPr>
          <w:noProof/>
          <w:sz w:val="20"/>
          <w:lang w:val="en-US"/>
        </w:rPr>
      </w:pPr>
    </w:p>
    <w:p w:rsidR="00884193" w:rsidRDefault="00884193" w:rsidP="00884193">
      <w:pPr>
        <w:rPr>
          <w:noProof/>
          <w:sz w:val="20"/>
          <w:lang w:val="en-US"/>
        </w:rPr>
      </w:pPr>
    </w:p>
    <w:p w:rsidR="00884193" w:rsidRDefault="00884193" w:rsidP="00884193">
      <w:pPr>
        <w:rPr>
          <w:noProof/>
          <w:sz w:val="20"/>
          <w:lang w:val="en-US"/>
        </w:rPr>
      </w:pPr>
    </w:p>
    <w:p w:rsidR="00884193" w:rsidRDefault="00884193" w:rsidP="00884193">
      <w:pPr>
        <w:rPr>
          <w:noProof/>
          <w:sz w:val="20"/>
          <w:lang w:val="en-US"/>
        </w:rPr>
      </w:pPr>
    </w:p>
    <w:p w:rsidR="00884193" w:rsidRDefault="00884193" w:rsidP="00884193">
      <w:pPr>
        <w:rPr>
          <w:noProof/>
          <w:sz w:val="20"/>
          <w:lang w:val="en-US"/>
        </w:rPr>
      </w:pPr>
    </w:p>
    <w:p w:rsidR="00884193" w:rsidRDefault="00884193" w:rsidP="00884193">
      <w:pPr>
        <w:rPr>
          <w:noProof/>
          <w:sz w:val="20"/>
          <w:lang w:val="en-US"/>
        </w:rPr>
      </w:pPr>
    </w:p>
    <w:p w:rsidR="00884193" w:rsidRPr="0006153A" w:rsidRDefault="00884193" w:rsidP="00884193">
      <w:pPr>
        <w:rPr>
          <w:sz w:val="20"/>
        </w:rPr>
      </w:pPr>
    </w:p>
    <w:p w:rsidR="00884193" w:rsidRPr="0006153A" w:rsidRDefault="00884193" w:rsidP="00884193">
      <w:pPr>
        <w:rPr>
          <w:sz w:val="20"/>
        </w:rPr>
      </w:pPr>
      <w:r w:rsidRPr="0006153A">
        <w:rPr>
          <w:sz w:val="20"/>
        </w:rPr>
        <w:t xml:space="preserve"> </w:t>
      </w:r>
    </w:p>
    <w:p w:rsidR="00884193" w:rsidRDefault="00884193" w:rsidP="00884193">
      <w:pPr>
        <w:rPr>
          <w:sz w:val="20"/>
        </w:rPr>
      </w:pPr>
    </w:p>
    <w:p w:rsidR="00884193" w:rsidRDefault="00884193" w:rsidP="00884193">
      <w:pPr>
        <w:rPr>
          <w:sz w:val="20"/>
        </w:rPr>
      </w:pPr>
    </w:p>
    <w:p w:rsidR="00624942" w:rsidRDefault="00624942" w:rsidP="00884193">
      <w:pPr>
        <w:rPr>
          <w:sz w:val="20"/>
        </w:rPr>
      </w:pPr>
    </w:p>
    <w:p w:rsidR="00884193" w:rsidRPr="0006153A" w:rsidRDefault="00884193" w:rsidP="00D53E91">
      <w:pPr>
        <w:jc w:val="both"/>
        <w:rPr>
          <w:sz w:val="20"/>
        </w:rPr>
      </w:pPr>
      <w:r w:rsidRPr="0006153A">
        <w:rPr>
          <w:sz w:val="20"/>
        </w:rPr>
        <w:t xml:space="preserve">Work continues to determine a suitable data base. Following ‘Enterprise’ database meetings in December 2013 it is now considered that ‘e-Quip’ is likely to be most suitable system for medical device audit data. This is currently being investigated at a deeper level to ensure viability with the intention of use at the beginning of February 2014. </w:t>
      </w:r>
    </w:p>
    <w:p w:rsidR="00884193" w:rsidRPr="0006153A" w:rsidRDefault="00884193" w:rsidP="00D53E91">
      <w:pPr>
        <w:jc w:val="both"/>
        <w:rPr>
          <w:sz w:val="20"/>
        </w:rPr>
      </w:pPr>
    </w:p>
    <w:p w:rsidR="00884193" w:rsidRPr="0006153A" w:rsidRDefault="00884193" w:rsidP="00D53E91">
      <w:pPr>
        <w:pStyle w:val="ListParagraph"/>
        <w:ind w:left="0"/>
        <w:jc w:val="both"/>
        <w:rPr>
          <w:rFonts w:ascii="Arial" w:hAnsi="Arial" w:cs="Arial"/>
          <w:b/>
          <w:sz w:val="20"/>
          <w:szCs w:val="20"/>
        </w:rPr>
      </w:pPr>
      <w:r w:rsidRPr="0006153A">
        <w:rPr>
          <w:rFonts w:ascii="Arial" w:hAnsi="Arial" w:cs="Arial"/>
          <w:b/>
          <w:sz w:val="20"/>
          <w:szCs w:val="20"/>
        </w:rPr>
        <w:t>Medical Devices Training plan and objectives for 201</w:t>
      </w:r>
      <w:r w:rsidR="001809DB">
        <w:rPr>
          <w:rFonts w:ascii="Arial" w:hAnsi="Arial" w:cs="Arial"/>
          <w:b/>
          <w:sz w:val="20"/>
          <w:szCs w:val="20"/>
        </w:rPr>
        <w:t xml:space="preserve">4 </w:t>
      </w:r>
    </w:p>
    <w:p w:rsidR="00884193" w:rsidRPr="0006153A" w:rsidRDefault="00884193" w:rsidP="00D53E91">
      <w:pPr>
        <w:jc w:val="both"/>
        <w:rPr>
          <w:sz w:val="20"/>
        </w:rPr>
      </w:pPr>
      <w:r w:rsidRPr="0006153A">
        <w:rPr>
          <w:sz w:val="20"/>
        </w:rPr>
        <w:t xml:space="preserve">Training will continue to ensure required target for safe implementation of the Alaris SE with guardrails onto all 3 hospital sites. </w:t>
      </w:r>
    </w:p>
    <w:p w:rsidR="00884193" w:rsidRPr="0006153A" w:rsidRDefault="00884193" w:rsidP="00D53E91">
      <w:pPr>
        <w:jc w:val="both"/>
        <w:rPr>
          <w:sz w:val="20"/>
        </w:rPr>
      </w:pPr>
    </w:p>
    <w:p w:rsidR="00884193" w:rsidRPr="0006153A" w:rsidRDefault="00884193" w:rsidP="00D53E91">
      <w:pPr>
        <w:jc w:val="both"/>
        <w:rPr>
          <w:sz w:val="20"/>
        </w:rPr>
      </w:pPr>
      <w:r w:rsidRPr="0006153A">
        <w:rPr>
          <w:sz w:val="20"/>
        </w:rPr>
        <w:t>Implement a revised core trainer programme to meet specific requirements of core trainers’ dependant on device and clinical area.</w:t>
      </w:r>
    </w:p>
    <w:p w:rsidR="00884193" w:rsidRPr="0006153A" w:rsidRDefault="00884193" w:rsidP="00D53E91">
      <w:pPr>
        <w:jc w:val="both"/>
        <w:rPr>
          <w:sz w:val="20"/>
        </w:rPr>
      </w:pPr>
    </w:p>
    <w:p w:rsidR="00884193" w:rsidRPr="0006153A" w:rsidRDefault="00884193" w:rsidP="00D53E91">
      <w:pPr>
        <w:jc w:val="both"/>
        <w:rPr>
          <w:sz w:val="20"/>
        </w:rPr>
      </w:pPr>
      <w:r w:rsidRPr="0006153A">
        <w:rPr>
          <w:sz w:val="20"/>
        </w:rPr>
        <w:lastRenderedPageBreak/>
        <w:t xml:space="preserve">Introduce revised study days (Infusion Device Workshops and Theory and Practice Medical Device Workshops) ensuring availability on each site per month. </w:t>
      </w:r>
    </w:p>
    <w:p w:rsidR="00884193" w:rsidRPr="0006153A" w:rsidRDefault="00884193" w:rsidP="00D53E91">
      <w:pPr>
        <w:jc w:val="both"/>
        <w:rPr>
          <w:sz w:val="20"/>
        </w:rPr>
      </w:pPr>
    </w:p>
    <w:p w:rsidR="00884193" w:rsidRPr="0006153A" w:rsidRDefault="00884193" w:rsidP="00D53E91">
      <w:pPr>
        <w:jc w:val="both"/>
        <w:rPr>
          <w:sz w:val="20"/>
        </w:rPr>
      </w:pPr>
      <w:r w:rsidRPr="0006153A">
        <w:rPr>
          <w:sz w:val="20"/>
        </w:rPr>
        <w:t xml:space="preserve">Review policy and required educational provision of devices depending on risk status. </w:t>
      </w:r>
    </w:p>
    <w:p w:rsidR="00884193" w:rsidRPr="0006153A" w:rsidRDefault="00884193" w:rsidP="00884193">
      <w:pPr>
        <w:rPr>
          <w:sz w:val="20"/>
        </w:rPr>
      </w:pPr>
    </w:p>
    <w:p w:rsidR="00884193" w:rsidRPr="0006153A" w:rsidRDefault="00884193" w:rsidP="00D53E91">
      <w:pPr>
        <w:jc w:val="both"/>
        <w:rPr>
          <w:sz w:val="20"/>
        </w:rPr>
      </w:pPr>
      <w:r w:rsidRPr="0006153A">
        <w:rPr>
          <w:sz w:val="20"/>
        </w:rPr>
        <w:t xml:space="preserve">Evaluate success of amended audit process to establish additional methods to ascertain training requirements for Trust staff whilst working within current resource availability. </w:t>
      </w:r>
    </w:p>
    <w:p w:rsidR="00E368B2" w:rsidRDefault="00E368B2" w:rsidP="00D53E91">
      <w:pPr>
        <w:jc w:val="both"/>
        <w:rPr>
          <w:sz w:val="20"/>
        </w:rPr>
      </w:pPr>
    </w:p>
    <w:p w:rsidR="00884193" w:rsidRPr="0006153A" w:rsidRDefault="00884193" w:rsidP="00D53E91">
      <w:pPr>
        <w:jc w:val="both"/>
        <w:rPr>
          <w:sz w:val="20"/>
        </w:rPr>
      </w:pPr>
      <w:r w:rsidRPr="0006153A">
        <w:rPr>
          <w:sz w:val="20"/>
        </w:rPr>
        <w:t xml:space="preserve">Commence use of new database in collaboration with the medical engineering department. </w:t>
      </w:r>
    </w:p>
    <w:p w:rsidR="00884193" w:rsidRPr="0006153A" w:rsidRDefault="00884193" w:rsidP="00D53E91">
      <w:pPr>
        <w:jc w:val="both"/>
        <w:rPr>
          <w:sz w:val="20"/>
        </w:rPr>
      </w:pPr>
    </w:p>
    <w:p w:rsidR="00884193" w:rsidRDefault="00884193" w:rsidP="00D53E91">
      <w:pPr>
        <w:jc w:val="both"/>
        <w:rPr>
          <w:sz w:val="20"/>
        </w:rPr>
      </w:pPr>
      <w:r w:rsidRPr="0006153A">
        <w:rPr>
          <w:sz w:val="20"/>
        </w:rPr>
        <w:t xml:space="preserve">Arrange regular team training sessions so good practice and skills can be shared. </w:t>
      </w:r>
      <w:r>
        <w:rPr>
          <w:sz w:val="20"/>
        </w:rPr>
        <w:t>This will e</w:t>
      </w:r>
      <w:r w:rsidRPr="0006153A">
        <w:rPr>
          <w:sz w:val="20"/>
        </w:rPr>
        <w:t>n</w:t>
      </w:r>
      <w:r>
        <w:rPr>
          <w:sz w:val="20"/>
        </w:rPr>
        <w:t>able</w:t>
      </w:r>
      <w:r w:rsidRPr="0006153A">
        <w:rPr>
          <w:sz w:val="20"/>
        </w:rPr>
        <w:t xml:space="preserve"> the team to be able to respond to enquiries in a professional and capable manner. </w:t>
      </w:r>
    </w:p>
    <w:p w:rsidR="00E368B2" w:rsidRPr="0006153A" w:rsidRDefault="00E368B2" w:rsidP="00D53E91">
      <w:pPr>
        <w:jc w:val="both"/>
        <w:rPr>
          <w:sz w:val="20"/>
        </w:rPr>
      </w:pPr>
    </w:p>
    <w:p w:rsidR="008E224C" w:rsidRDefault="008E224C" w:rsidP="00D53E91">
      <w:pPr>
        <w:jc w:val="both"/>
        <w:rPr>
          <w:rFonts w:cs="Arial"/>
          <w:b/>
        </w:rPr>
      </w:pPr>
      <w:r>
        <w:rPr>
          <w:rFonts w:cs="Arial"/>
          <w:b/>
        </w:rPr>
        <w:t xml:space="preserve">8. </w:t>
      </w:r>
      <w:r>
        <w:rPr>
          <w:rFonts w:cs="Arial"/>
          <w:b/>
        </w:rPr>
        <w:tab/>
      </w:r>
      <w:r w:rsidRPr="001B578D">
        <w:rPr>
          <w:rFonts w:cs="Arial"/>
          <w:b/>
        </w:rPr>
        <w:t>Maintenance</w:t>
      </w:r>
      <w:r>
        <w:rPr>
          <w:rFonts w:cs="Arial"/>
          <w:b/>
        </w:rPr>
        <w:t>,</w:t>
      </w:r>
      <w:r w:rsidRPr="001B578D">
        <w:rPr>
          <w:rFonts w:cs="Arial"/>
          <w:b/>
        </w:rPr>
        <w:t xml:space="preserve"> </w:t>
      </w:r>
      <w:r>
        <w:rPr>
          <w:rFonts w:cs="Arial"/>
          <w:b/>
        </w:rPr>
        <w:t>R</w:t>
      </w:r>
      <w:r w:rsidRPr="001B578D">
        <w:rPr>
          <w:rFonts w:cs="Arial"/>
          <w:b/>
        </w:rPr>
        <w:t xml:space="preserve">epair </w:t>
      </w:r>
      <w:r>
        <w:rPr>
          <w:rFonts w:cs="Arial"/>
          <w:b/>
        </w:rPr>
        <w:t xml:space="preserve">and Loans </w:t>
      </w:r>
      <w:r w:rsidRPr="001B578D">
        <w:rPr>
          <w:rFonts w:cs="Arial"/>
          <w:b/>
        </w:rPr>
        <w:t xml:space="preserve">of </w:t>
      </w:r>
      <w:r>
        <w:rPr>
          <w:rFonts w:cs="Arial"/>
          <w:b/>
        </w:rPr>
        <w:t>M</w:t>
      </w:r>
      <w:r w:rsidRPr="001B578D">
        <w:rPr>
          <w:rFonts w:cs="Arial"/>
          <w:b/>
        </w:rPr>
        <w:t xml:space="preserve">edical </w:t>
      </w:r>
      <w:r>
        <w:rPr>
          <w:rFonts w:cs="Arial"/>
          <w:b/>
        </w:rPr>
        <w:t>D</w:t>
      </w:r>
      <w:r w:rsidRPr="001B578D">
        <w:rPr>
          <w:rFonts w:cs="Arial"/>
          <w:b/>
        </w:rPr>
        <w:t>evices</w:t>
      </w:r>
    </w:p>
    <w:p w:rsidR="008E224C" w:rsidRPr="00750B2B" w:rsidRDefault="008E224C" w:rsidP="00D53E91">
      <w:pPr>
        <w:ind w:left="240"/>
        <w:jc w:val="both"/>
        <w:rPr>
          <w:rFonts w:cs="Arial"/>
          <w:b/>
          <w:sz w:val="20"/>
        </w:rPr>
      </w:pPr>
    </w:p>
    <w:p w:rsidR="008E224C" w:rsidRDefault="008E224C" w:rsidP="00D53E91">
      <w:pPr>
        <w:autoSpaceDE w:val="0"/>
        <w:autoSpaceDN w:val="0"/>
        <w:adjustRightInd w:val="0"/>
        <w:jc w:val="both"/>
        <w:rPr>
          <w:rFonts w:cs="Arial"/>
          <w:sz w:val="20"/>
          <w:lang w:eastAsia="en-GB"/>
        </w:rPr>
      </w:pPr>
      <w:r w:rsidRPr="00750B2B">
        <w:rPr>
          <w:rFonts w:cs="Arial"/>
          <w:sz w:val="20"/>
          <w:lang w:eastAsia="en-GB"/>
        </w:rPr>
        <w:t xml:space="preserve">To ensure safe operation and to meet the Trust's obligations under current legislation, all medical devices should be maintained and repaired in accordance with manufacturers' instructions. The majority of the trust's medical equipment is maintained in-house by </w:t>
      </w:r>
      <w:r>
        <w:rPr>
          <w:rFonts w:cs="Arial"/>
          <w:sz w:val="20"/>
          <w:lang w:eastAsia="en-GB"/>
        </w:rPr>
        <w:t xml:space="preserve">the </w:t>
      </w:r>
      <w:r w:rsidRPr="00750B2B">
        <w:rPr>
          <w:rFonts w:cs="Arial"/>
          <w:sz w:val="20"/>
          <w:lang w:eastAsia="en-GB"/>
        </w:rPr>
        <w:t>Medical Engineer</w:t>
      </w:r>
      <w:r>
        <w:rPr>
          <w:rFonts w:cs="Arial"/>
          <w:sz w:val="20"/>
          <w:lang w:eastAsia="en-GB"/>
        </w:rPr>
        <w:t>ing Department from workshops at each hospital site</w:t>
      </w:r>
      <w:r w:rsidRPr="00750B2B">
        <w:rPr>
          <w:rFonts w:cs="Arial"/>
          <w:sz w:val="20"/>
          <w:lang w:eastAsia="en-GB"/>
        </w:rPr>
        <w:t>.</w:t>
      </w:r>
      <w:r>
        <w:rPr>
          <w:rFonts w:cs="Arial"/>
          <w:sz w:val="20"/>
          <w:lang w:eastAsia="en-GB"/>
        </w:rPr>
        <w:t xml:space="preserve"> Where it is deemed preferable to do so, maintenance contracts are taken out to ensure that equipment continues to run safely and efficiently. </w:t>
      </w:r>
    </w:p>
    <w:p w:rsidR="008E224C" w:rsidRPr="00750B2B" w:rsidRDefault="008E224C" w:rsidP="00D53E91">
      <w:pPr>
        <w:autoSpaceDE w:val="0"/>
        <w:autoSpaceDN w:val="0"/>
        <w:adjustRightInd w:val="0"/>
        <w:ind w:left="600"/>
        <w:jc w:val="both"/>
        <w:rPr>
          <w:rFonts w:cs="Arial"/>
          <w:sz w:val="20"/>
          <w:lang w:eastAsia="en-GB"/>
        </w:rPr>
      </w:pPr>
    </w:p>
    <w:p w:rsidR="008E224C" w:rsidRDefault="008E224C" w:rsidP="00D53E91">
      <w:pPr>
        <w:autoSpaceDE w:val="0"/>
        <w:autoSpaceDN w:val="0"/>
        <w:adjustRightInd w:val="0"/>
        <w:jc w:val="both"/>
        <w:rPr>
          <w:rFonts w:cs="Arial"/>
          <w:sz w:val="20"/>
          <w:lang w:eastAsia="en-GB"/>
        </w:rPr>
      </w:pPr>
      <w:r w:rsidRPr="00750B2B">
        <w:rPr>
          <w:rFonts w:cs="Arial"/>
          <w:sz w:val="20"/>
          <w:lang w:eastAsia="en-GB"/>
        </w:rPr>
        <w:t>During the past year (January to December 201</w:t>
      </w:r>
      <w:r>
        <w:rPr>
          <w:rFonts w:cs="Arial"/>
          <w:sz w:val="20"/>
          <w:lang w:eastAsia="en-GB"/>
        </w:rPr>
        <w:t>3</w:t>
      </w:r>
      <w:r w:rsidRPr="00750B2B">
        <w:rPr>
          <w:rFonts w:cs="Arial"/>
          <w:sz w:val="20"/>
          <w:lang w:eastAsia="en-GB"/>
        </w:rPr>
        <w:t xml:space="preserve">) </w:t>
      </w:r>
      <w:r>
        <w:rPr>
          <w:rFonts w:cs="Arial"/>
          <w:sz w:val="20"/>
          <w:lang w:eastAsia="en-GB"/>
        </w:rPr>
        <w:t>2280</w:t>
      </w:r>
      <w:r w:rsidRPr="00750B2B">
        <w:rPr>
          <w:rFonts w:cs="Arial"/>
          <w:sz w:val="20"/>
          <w:lang w:eastAsia="en-GB"/>
        </w:rPr>
        <w:t xml:space="preserve"> additional devices have been added to the Medical Engineering database and </w:t>
      </w:r>
      <w:r>
        <w:rPr>
          <w:rFonts w:cs="Arial"/>
          <w:sz w:val="20"/>
          <w:lang w:eastAsia="en-GB"/>
        </w:rPr>
        <w:t>980</w:t>
      </w:r>
      <w:r w:rsidRPr="00750B2B">
        <w:rPr>
          <w:rFonts w:cs="Arial"/>
          <w:sz w:val="20"/>
          <w:lang w:eastAsia="en-GB"/>
        </w:rPr>
        <w:t xml:space="preserve"> devices have been discarded. </w:t>
      </w:r>
      <w:r>
        <w:rPr>
          <w:rFonts w:cs="Arial"/>
          <w:sz w:val="20"/>
          <w:lang w:eastAsia="en-GB"/>
        </w:rPr>
        <w:t xml:space="preserve">A full audit of medical devices across the trust was commenced in December 2013 but the results of this were not available at the time of writing this report. It is intended that, following the audit, many devices which are currently unaccounted for and </w:t>
      </w:r>
      <w:r w:rsidRPr="00750B2B">
        <w:rPr>
          <w:rFonts w:cs="Arial"/>
          <w:sz w:val="20"/>
          <w:lang w:eastAsia="en-GB"/>
        </w:rPr>
        <w:t xml:space="preserve">recorded as “suspended” </w:t>
      </w:r>
      <w:r>
        <w:rPr>
          <w:rFonts w:cs="Arial"/>
          <w:sz w:val="20"/>
          <w:lang w:eastAsia="en-GB"/>
        </w:rPr>
        <w:t>(currently 1600 devices) will be able to be changed to “discarded” and</w:t>
      </w:r>
      <w:r w:rsidRPr="00750B2B">
        <w:rPr>
          <w:rFonts w:cs="Arial"/>
          <w:sz w:val="20"/>
          <w:lang w:eastAsia="en-GB"/>
        </w:rPr>
        <w:t xml:space="preserve"> decommissioned</w:t>
      </w:r>
      <w:r>
        <w:rPr>
          <w:rFonts w:cs="Arial"/>
          <w:sz w:val="20"/>
          <w:lang w:eastAsia="en-GB"/>
        </w:rPr>
        <w:t xml:space="preserve"> on the database</w:t>
      </w:r>
      <w:r w:rsidRPr="00750B2B">
        <w:rPr>
          <w:rFonts w:cs="Arial"/>
          <w:sz w:val="20"/>
          <w:lang w:eastAsia="en-GB"/>
        </w:rPr>
        <w:t xml:space="preserve">. </w:t>
      </w:r>
      <w:r>
        <w:rPr>
          <w:rFonts w:cs="Arial"/>
          <w:sz w:val="20"/>
          <w:lang w:eastAsia="en-GB"/>
        </w:rPr>
        <w:t>If and w</w:t>
      </w:r>
      <w:r w:rsidRPr="00750B2B">
        <w:rPr>
          <w:rFonts w:cs="Arial"/>
          <w:sz w:val="20"/>
          <w:lang w:eastAsia="en-GB"/>
        </w:rPr>
        <w:t>hen such devices come to light they will be serviced and re-activated on the database as before.</w:t>
      </w:r>
    </w:p>
    <w:p w:rsidR="008E224C" w:rsidRPr="00750B2B" w:rsidRDefault="008E224C" w:rsidP="00D53E91">
      <w:pPr>
        <w:autoSpaceDE w:val="0"/>
        <w:autoSpaceDN w:val="0"/>
        <w:adjustRightInd w:val="0"/>
        <w:ind w:left="600"/>
        <w:jc w:val="both"/>
        <w:rPr>
          <w:rFonts w:cs="Arial"/>
          <w:sz w:val="20"/>
          <w:lang w:eastAsia="en-GB"/>
        </w:rPr>
      </w:pPr>
    </w:p>
    <w:p w:rsidR="008E224C" w:rsidRDefault="008E224C" w:rsidP="00D53E91">
      <w:pPr>
        <w:autoSpaceDE w:val="0"/>
        <w:autoSpaceDN w:val="0"/>
        <w:adjustRightInd w:val="0"/>
        <w:jc w:val="both"/>
        <w:rPr>
          <w:rFonts w:cs="Arial"/>
          <w:sz w:val="20"/>
          <w:lang w:eastAsia="en-GB"/>
        </w:rPr>
      </w:pPr>
      <w:r w:rsidRPr="00750B2B">
        <w:rPr>
          <w:rFonts w:cs="Arial"/>
          <w:sz w:val="20"/>
          <w:lang w:eastAsia="en-GB"/>
        </w:rPr>
        <w:t xml:space="preserve">The planned preventive maintenance programme is up to date for all sites in terms of locations visited. Despite this, missing equipment continues to be a problem, requiring resources to be utilised in repeated attempts to maintain it. Following each PPM visit, a list of items not found is emailed directly to the ward/department manager and copied to the appropriate manager or Matron requesting that they investigate. The risk categorisation </w:t>
      </w:r>
      <w:r>
        <w:rPr>
          <w:rFonts w:cs="Arial"/>
          <w:sz w:val="20"/>
          <w:lang w:eastAsia="en-GB"/>
        </w:rPr>
        <w:t xml:space="preserve">for devices in the </w:t>
      </w:r>
      <w:r w:rsidRPr="00750B2B">
        <w:rPr>
          <w:rFonts w:cs="Arial"/>
          <w:sz w:val="20"/>
          <w:lang w:eastAsia="en-GB"/>
        </w:rPr>
        <w:t xml:space="preserve">e-Quip database </w:t>
      </w:r>
      <w:r>
        <w:rPr>
          <w:rFonts w:cs="Arial"/>
          <w:sz w:val="20"/>
          <w:lang w:eastAsia="en-GB"/>
        </w:rPr>
        <w:t>i</w:t>
      </w:r>
      <w:r w:rsidRPr="00750B2B">
        <w:rPr>
          <w:rFonts w:cs="Arial"/>
          <w:sz w:val="20"/>
          <w:lang w:eastAsia="en-GB"/>
        </w:rPr>
        <w:t xml:space="preserve">s </w:t>
      </w:r>
      <w:r>
        <w:rPr>
          <w:rFonts w:cs="Arial"/>
          <w:sz w:val="20"/>
          <w:lang w:eastAsia="en-GB"/>
        </w:rPr>
        <w:t xml:space="preserve">to be reviewed in 2014 following a recommendation from the audit carried out by Capita Symonds in June 2013. The reason for this is that we are unable to demonstrate any external accreditation for the classification as implemented and so there is insufficient assurance that high risk devices are being managed correctly. </w:t>
      </w:r>
    </w:p>
    <w:p w:rsidR="008E224C" w:rsidRDefault="008E224C" w:rsidP="008E224C">
      <w:pPr>
        <w:autoSpaceDE w:val="0"/>
        <w:autoSpaceDN w:val="0"/>
        <w:adjustRightInd w:val="0"/>
        <w:ind w:left="-142" w:right="-902"/>
        <w:jc w:val="both"/>
        <w:rPr>
          <w:rFonts w:cs="Arial"/>
          <w:sz w:val="20"/>
          <w:lang w:eastAsia="en-GB"/>
        </w:rPr>
      </w:pPr>
    </w:p>
    <w:p w:rsidR="008E224C" w:rsidRDefault="008E224C" w:rsidP="008E224C">
      <w:pPr>
        <w:autoSpaceDE w:val="0"/>
        <w:autoSpaceDN w:val="0"/>
        <w:adjustRightInd w:val="0"/>
        <w:jc w:val="both"/>
        <w:rPr>
          <w:rFonts w:cs="Arial"/>
          <w:b/>
          <w:lang w:eastAsia="en-GB"/>
        </w:rPr>
      </w:pPr>
      <w:r w:rsidRPr="00913ACA">
        <w:rPr>
          <w:rFonts w:cs="Arial"/>
          <w:b/>
          <w:lang w:eastAsia="en-GB"/>
        </w:rPr>
        <w:t xml:space="preserve">Planned Maintenance by site </w:t>
      </w:r>
      <w:r>
        <w:rPr>
          <w:rFonts w:cs="Arial"/>
          <w:b/>
          <w:lang w:eastAsia="en-GB"/>
        </w:rPr>
        <w:t>–</w:t>
      </w:r>
      <w:r w:rsidRPr="00913ACA">
        <w:rPr>
          <w:rFonts w:cs="Arial"/>
          <w:b/>
          <w:lang w:eastAsia="en-GB"/>
        </w:rPr>
        <w:t xml:space="preserve"> 201</w:t>
      </w:r>
      <w:r>
        <w:rPr>
          <w:rFonts w:cs="Arial"/>
          <w:b/>
          <w:lang w:eastAsia="en-GB"/>
        </w:rPr>
        <w:t>3</w:t>
      </w:r>
    </w:p>
    <w:p w:rsidR="008E224C" w:rsidRDefault="008E224C" w:rsidP="008E224C">
      <w:pPr>
        <w:autoSpaceDE w:val="0"/>
        <w:autoSpaceDN w:val="0"/>
        <w:adjustRightInd w:val="0"/>
        <w:jc w:val="both"/>
        <w:rPr>
          <w:rFonts w:cs="Arial"/>
          <w:b/>
          <w:lang w:eastAsia="en-GB"/>
        </w:rPr>
      </w:pPr>
    </w:p>
    <w:p w:rsidR="008E224C" w:rsidRDefault="008E224C" w:rsidP="008E224C">
      <w:pPr>
        <w:autoSpaceDE w:val="0"/>
        <w:autoSpaceDN w:val="0"/>
        <w:adjustRightInd w:val="0"/>
        <w:jc w:val="both"/>
        <w:rPr>
          <w:rFonts w:cs="Arial"/>
          <w:lang w:eastAsia="en-GB"/>
        </w:rPr>
      </w:pPr>
      <w:r w:rsidRPr="001B1B53">
        <w:rPr>
          <w:rFonts w:cs="Arial"/>
          <w:noProof/>
          <w:lang w:eastAsia="en-GB"/>
        </w:rPr>
        <w:drawing>
          <wp:inline distT="0" distB="0" distL="0" distR="0">
            <wp:extent cx="5278120" cy="2338500"/>
            <wp:effectExtent l="19050" t="0" r="17780" b="465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224C" w:rsidRPr="00750B2B" w:rsidRDefault="008E224C" w:rsidP="008E224C">
      <w:pPr>
        <w:autoSpaceDE w:val="0"/>
        <w:autoSpaceDN w:val="0"/>
        <w:adjustRightInd w:val="0"/>
        <w:ind w:left="600"/>
        <w:jc w:val="both"/>
        <w:rPr>
          <w:rFonts w:cs="Arial"/>
          <w:sz w:val="20"/>
          <w:lang w:eastAsia="en-GB"/>
        </w:rPr>
      </w:pPr>
    </w:p>
    <w:p w:rsidR="008E224C" w:rsidRDefault="008E224C" w:rsidP="00D53E91">
      <w:pPr>
        <w:jc w:val="both"/>
        <w:rPr>
          <w:rFonts w:cs="Arial"/>
          <w:sz w:val="20"/>
          <w:lang w:eastAsia="en-GB"/>
        </w:rPr>
      </w:pPr>
      <w:r w:rsidRPr="00750B2B">
        <w:rPr>
          <w:rFonts w:cs="Arial"/>
          <w:sz w:val="20"/>
          <w:lang w:eastAsia="en-GB"/>
        </w:rPr>
        <w:t xml:space="preserve">The e-Quip database has now been in use for over 2 </w:t>
      </w:r>
      <w:r>
        <w:rPr>
          <w:rFonts w:cs="Arial"/>
          <w:sz w:val="20"/>
          <w:lang w:eastAsia="en-GB"/>
        </w:rPr>
        <w:t>years</w:t>
      </w:r>
      <w:r w:rsidRPr="00750B2B">
        <w:rPr>
          <w:rFonts w:cs="Arial"/>
          <w:sz w:val="20"/>
          <w:lang w:eastAsia="en-GB"/>
        </w:rPr>
        <w:t xml:space="preserve"> and is its functionality </w:t>
      </w:r>
      <w:r>
        <w:rPr>
          <w:rFonts w:cs="Arial"/>
          <w:sz w:val="20"/>
          <w:lang w:eastAsia="en-GB"/>
        </w:rPr>
        <w:t xml:space="preserve">is still being developed. </w:t>
      </w:r>
      <w:r w:rsidRPr="00750B2B">
        <w:rPr>
          <w:rFonts w:cs="Arial"/>
          <w:sz w:val="20"/>
          <w:lang w:eastAsia="en-GB"/>
        </w:rPr>
        <w:t xml:space="preserve">Medical Engineering continue to work with the provider of the system in developing it </w:t>
      </w:r>
      <w:r>
        <w:rPr>
          <w:rFonts w:cs="Arial"/>
          <w:sz w:val="20"/>
          <w:lang w:eastAsia="en-GB"/>
        </w:rPr>
        <w:t>further improvements have been made in the way it handles PPM scheduling. In addition, following development of its training functionality, it is now being considered for use by the Faculty of Education to record device competency for nursing staff.</w:t>
      </w:r>
    </w:p>
    <w:p w:rsidR="008E224C" w:rsidRDefault="008E224C" w:rsidP="00D53E91">
      <w:pPr>
        <w:jc w:val="both"/>
        <w:rPr>
          <w:rFonts w:cs="Arial"/>
          <w:sz w:val="20"/>
          <w:lang w:eastAsia="en-GB"/>
        </w:rPr>
      </w:pPr>
    </w:p>
    <w:p w:rsidR="008E224C" w:rsidRPr="00750B2B" w:rsidRDefault="008E224C" w:rsidP="00D53E91">
      <w:pPr>
        <w:jc w:val="both"/>
        <w:rPr>
          <w:rFonts w:cs="Arial"/>
          <w:sz w:val="20"/>
          <w:lang w:eastAsia="en-GB"/>
        </w:rPr>
      </w:pPr>
      <w:r>
        <w:rPr>
          <w:rFonts w:cs="Arial"/>
          <w:sz w:val="20"/>
          <w:lang w:eastAsia="en-GB"/>
        </w:rPr>
        <w:lastRenderedPageBreak/>
        <w:t xml:space="preserve">The </w:t>
      </w:r>
      <w:r w:rsidRPr="00BE179A">
        <w:rPr>
          <w:rFonts w:cs="Arial"/>
          <w:sz w:val="20"/>
          <w:lang w:eastAsia="en-GB"/>
        </w:rPr>
        <w:t>RFID tracking solution (Harland Simon “Discovery”) has now been implemented and is linked to e-Quip in order to provide up to date information on equipment location. As this is developed further it will give a significant improvement in both maintenance performance and recovery of loaned equipment from equipment libraries.</w:t>
      </w:r>
      <w:r>
        <w:rPr>
          <w:rFonts w:cs="Arial"/>
          <w:sz w:val="20"/>
          <w:lang w:eastAsia="en-GB"/>
        </w:rPr>
        <w:t xml:space="preserve"> During 2014 the existing Library facility at Heartlands Hospital (CERC) will be merged with the Medical Equipment Library at Good Hope under the management of Medical Engineering and will be reconfigured to provide a service which is more suited to the needs of clinical users. Better use will be made of the facility at Solihull which will benefit from daily restocking in line with the other sites.</w:t>
      </w:r>
    </w:p>
    <w:p w:rsidR="00601F1F" w:rsidRPr="00750B2B" w:rsidRDefault="008E224C" w:rsidP="00D53E91">
      <w:pPr>
        <w:jc w:val="both"/>
        <w:rPr>
          <w:sz w:val="20"/>
        </w:rPr>
      </w:pPr>
      <w:r w:rsidRPr="00750B2B">
        <w:rPr>
          <w:rFonts w:cs="Arial"/>
          <w:sz w:val="20"/>
          <w:lang w:eastAsia="en-GB"/>
        </w:rPr>
        <w:t xml:space="preserve">The Medical Engineering Department continues to maintain its quality management system which </w:t>
      </w:r>
      <w:r>
        <w:rPr>
          <w:rFonts w:cs="Arial"/>
          <w:sz w:val="20"/>
          <w:lang w:eastAsia="en-GB"/>
        </w:rPr>
        <w:t>has now transferred to the Estates and Facilities system</w:t>
      </w:r>
      <w:r w:rsidRPr="00750B2B">
        <w:rPr>
          <w:rFonts w:cs="Arial"/>
          <w:sz w:val="20"/>
          <w:lang w:eastAsia="en-GB"/>
        </w:rPr>
        <w:t xml:space="preserve"> certified under BS EN ISO </w:t>
      </w:r>
      <w:r>
        <w:rPr>
          <w:rFonts w:cs="Arial"/>
          <w:sz w:val="20"/>
          <w:lang w:eastAsia="en-GB"/>
        </w:rPr>
        <w:t>9001</w:t>
      </w:r>
      <w:r w:rsidRPr="00750B2B">
        <w:rPr>
          <w:rFonts w:cs="Arial"/>
          <w:sz w:val="20"/>
          <w:lang w:eastAsia="en-GB"/>
        </w:rPr>
        <w:t>: 200</w:t>
      </w:r>
      <w:r>
        <w:rPr>
          <w:rFonts w:cs="Arial"/>
          <w:sz w:val="20"/>
          <w:lang w:eastAsia="en-GB"/>
        </w:rPr>
        <w:t>8.</w:t>
      </w:r>
      <w:r w:rsidRPr="00750B2B">
        <w:rPr>
          <w:rFonts w:cs="Arial"/>
          <w:sz w:val="20"/>
          <w:lang w:eastAsia="en-GB"/>
        </w:rPr>
        <w:t xml:space="preserve"> </w:t>
      </w:r>
      <w:r>
        <w:rPr>
          <w:rFonts w:cs="Arial"/>
          <w:sz w:val="20"/>
          <w:lang w:eastAsia="en-GB"/>
        </w:rPr>
        <w:t>The system ensures</w:t>
      </w:r>
      <w:r w:rsidRPr="00750B2B">
        <w:rPr>
          <w:rFonts w:cs="Arial"/>
          <w:sz w:val="20"/>
          <w:lang w:eastAsia="en-GB"/>
        </w:rPr>
        <w:t xml:space="preserve"> </w:t>
      </w:r>
      <w:r>
        <w:rPr>
          <w:rFonts w:cs="Arial"/>
          <w:sz w:val="20"/>
          <w:lang w:eastAsia="en-GB"/>
        </w:rPr>
        <w:t>that regular</w:t>
      </w:r>
      <w:r w:rsidRPr="00750B2B">
        <w:rPr>
          <w:rFonts w:cs="Arial"/>
          <w:sz w:val="20"/>
          <w:lang w:eastAsia="en-GB"/>
        </w:rPr>
        <w:t xml:space="preserve"> </w:t>
      </w:r>
      <w:r>
        <w:rPr>
          <w:rFonts w:cs="Arial"/>
          <w:sz w:val="20"/>
          <w:lang w:eastAsia="en-GB"/>
        </w:rPr>
        <w:t>monitoring</w:t>
      </w:r>
      <w:r w:rsidRPr="00750B2B">
        <w:rPr>
          <w:rFonts w:cs="Arial"/>
          <w:sz w:val="20"/>
          <w:lang w:eastAsia="en-GB"/>
        </w:rPr>
        <w:t xml:space="preserve"> of process</w:t>
      </w:r>
      <w:r>
        <w:rPr>
          <w:rFonts w:cs="Arial"/>
          <w:sz w:val="20"/>
          <w:lang w:eastAsia="en-GB"/>
        </w:rPr>
        <w:t>es</w:t>
      </w:r>
      <w:r w:rsidRPr="00750B2B">
        <w:rPr>
          <w:rFonts w:cs="Arial"/>
          <w:sz w:val="20"/>
          <w:lang w:eastAsia="en-GB"/>
        </w:rPr>
        <w:t xml:space="preserve"> and procedures </w:t>
      </w:r>
      <w:r>
        <w:rPr>
          <w:rFonts w:cs="Arial"/>
          <w:sz w:val="20"/>
          <w:lang w:eastAsia="en-GB"/>
        </w:rPr>
        <w:t>is</w:t>
      </w:r>
      <w:r w:rsidRPr="00750B2B">
        <w:rPr>
          <w:rFonts w:cs="Arial"/>
          <w:sz w:val="20"/>
          <w:lang w:eastAsia="en-GB"/>
        </w:rPr>
        <w:t xml:space="preserve"> carried out and reviewed regularly. The system is audited externally by NQA </w:t>
      </w:r>
      <w:r>
        <w:rPr>
          <w:rFonts w:cs="Arial"/>
          <w:sz w:val="20"/>
          <w:lang w:eastAsia="en-GB"/>
        </w:rPr>
        <w:t>as well as internally by other Estates and Facilities auditors</w:t>
      </w:r>
      <w:r w:rsidRPr="00750B2B">
        <w:rPr>
          <w:rFonts w:cs="Arial"/>
          <w:sz w:val="20"/>
          <w:lang w:eastAsia="en-GB"/>
        </w:rPr>
        <w:t>.</w:t>
      </w:r>
      <w:r>
        <w:rPr>
          <w:rFonts w:cs="Arial"/>
          <w:sz w:val="20"/>
          <w:lang w:eastAsia="en-GB"/>
        </w:rPr>
        <w:t xml:space="preserve"> Once the changes have been made to the Medical Equipment Libraries we propose to extend the scope of registration to include them in the Quality System.</w:t>
      </w:r>
    </w:p>
    <w:p w:rsidR="00B173F7" w:rsidRPr="00750B2B" w:rsidRDefault="00E26669" w:rsidP="00D53E91">
      <w:pPr>
        <w:jc w:val="both"/>
        <w:rPr>
          <w:rFonts w:cs="Arial"/>
          <w:sz w:val="20"/>
        </w:rPr>
      </w:pPr>
      <w:r w:rsidRPr="00750B2B">
        <w:rPr>
          <w:rFonts w:cs="Arial"/>
          <w:sz w:val="20"/>
        </w:rPr>
        <w:tab/>
      </w:r>
    </w:p>
    <w:p w:rsidR="0015589A" w:rsidRDefault="0015589A" w:rsidP="00D53E91">
      <w:pPr>
        <w:jc w:val="both"/>
        <w:rPr>
          <w:rFonts w:cs="Arial"/>
          <w:b/>
        </w:rPr>
      </w:pPr>
      <w:r>
        <w:rPr>
          <w:rFonts w:cs="Arial"/>
          <w:b/>
        </w:rPr>
        <w:t>9.</w:t>
      </w:r>
      <w:r>
        <w:rPr>
          <w:rFonts w:cs="Arial"/>
          <w:b/>
        </w:rPr>
        <w:tab/>
      </w:r>
      <w:r w:rsidRPr="00F9047C">
        <w:rPr>
          <w:rFonts w:cs="Arial"/>
          <w:b/>
        </w:rPr>
        <w:t xml:space="preserve">Safety </w:t>
      </w:r>
      <w:r>
        <w:rPr>
          <w:rFonts w:cs="Arial"/>
          <w:b/>
        </w:rPr>
        <w:t>A</w:t>
      </w:r>
      <w:r w:rsidRPr="00F9047C">
        <w:rPr>
          <w:rFonts w:cs="Arial"/>
          <w:b/>
        </w:rPr>
        <w:t>lerts</w:t>
      </w:r>
    </w:p>
    <w:p w:rsidR="00B173F7" w:rsidRPr="00750B2B" w:rsidRDefault="00B173F7" w:rsidP="00D53E91">
      <w:pPr>
        <w:jc w:val="both"/>
        <w:rPr>
          <w:rFonts w:cs="Arial"/>
          <w:b/>
          <w:sz w:val="20"/>
        </w:rPr>
      </w:pPr>
    </w:p>
    <w:p w:rsidR="00884193" w:rsidRPr="00851A4A" w:rsidRDefault="00884193" w:rsidP="00D53E91">
      <w:pPr>
        <w:jc w:val="both"/>
        <w:rPr>
          <w:rFonts w:cs="Arial"/>
          <w:sz w:val="20"/>
        </w:rPr>
      </w:pPr>
      <w:r w:rsidRPr="00851A4A">
        <w:rPr>
          <w:rFonts w:cs="Arial"/>
          <w:sz w:val="20"/>
        </w:rPr>
        <w:t xml:space="preserve">The Head of Health and Safety is the point of contact for the Trust to receive safety alerts issued by the Central Alert System (CAS). </w:t>
      </w:r>
    </w:p>
    <w:p w:rsidR="00884193" w:rsidRPr="00851A4A" w:rsidRDefault="00884193" w:rsidP="00D53E91">
      <w:pPr>
        <w:jc w:val="both"/>
        <w:rPr>
          <w:rFonts w:cs="Arial"/>
          <w:sz w:val="20"/>
        </w:rPr>
      </w:pPr>
    </w:p>
    <w:p w:rsidR="00884193" w:rsidRPr="00851A4A" w:rsidRDefault="00884193" w:rsidP="00D53E91">
      <w:pPr>
        <w:ind w:right="543"/>
        <w:jc w:val="both"/>
        <w:rPr>
          <w:rFonts w:cs="Arial"/>
          <w:sz w:val="20"/>
        </w:rPr>
      </w:pPr>
      <w:r w:rsidRPr="00851A4A">
        <w:rPr>
          <w:rFonts w:cs="Arial"/>
          <w:sz w:val="20"/>
        </w:rPr>
        <w:t xml:space="preserve">An unusually high number of alerts were issued via CAS in July 2013; this was as a result of the DH Estates and Facilities incorporating the issue of alerts relating to electrical safety, high and low voltage electrical distribution systems and associated switchgear and control equipment. </w:t>
      </w:r>
    </w:p>
    <w:p w:rsidR="00884193" w:rsidRPr="00851A4A" w:rsidRDefault="00884193" w:rsidP="00D53E91">
      <w:pPr>
        <w:jc w:val="both"/>
        <w:rPr>
          <w:rFonts w:cs="Arial"/>
          <w:sz w:val="20"/>
        </w:rPr>
      </w:pPr>
    </w:p>
    <w:p w:rsidR="00884193" w:rsidRPr="00851A4A" w:rsidRDefault="00884193" w:rsidP="00D53E91">
      <w:pPr>
        <w:jc w:val="both"/>
        <w:rPr>
          <w:rFonts w:cs="Arial"/>
          <w:sz w:val="20"/>
        </w:rPr>
      </w:pPr>
      <w:r w:rsidRPr="00851A4A">
        <w:rPr>
          <w:rFonts w:cs="Arial"/>
          <w:sz w:val="20"/>
        </w:rPr>
        <w:t>A total of 160 safety alerts were issued via the CAS from 1st January 2013– 31</w:t>
      </w:r>
      <w:r w:rsidRPr="00851A4A">
        <w:rPr>
          <w:rFonts w:cs="Arial"/>
          <w:sz w:val="20"/>
          <w:vertAlign w:val="superscript"/>
        </w:rPr>
        <w:t>st</w:t>
      </w:r>
      <w:r w:rsidRPr="00851A4A">
        <w:rPr>
          <w:rFonts w:cs="Arial"/>
          <w:sz w:val="20"/>
        </w:rPr>
        <w:t xml:space="preserve"> December 2013. In addition to the new alerts received during 2013, a total of 6 had been carried forward from the previous year. 5 of these were within the allocated timescales and 1 was open past the deadline for completion date.</w:t>
      </w:r>
    </w:p>
    <w:p w:rsidR="00884193" w:rsidRPr="00851A4A" w:rsidRDefault="00884193" w:rsidP="00D53E91">
      <w:pPr>
        <w:jc w:val="both"/>
        <w:rPr>
          <w:rFonts w:cs="Arial"/>
          <w:sz w:val="20"/>
        </w:rPr>
      </w:pPr>
    </w:p>
    <w:p w:rsidR="00884193" w:rsidRPr="00851A4A" w:rsidRDefault="00884193" w:rsidP="00D53E91">
      <w:pPr>
        <w:jc w:val="both"/>
        <w:rPr>
          <w:rFonts w:cs="Arial"/>
          <w:sz w:val="20"/>
        </w:rPr>
      </w:pPr>
      <w:r w:rsidRPr="00851A4A">
        <w:rPr>
          <w:rFonts w:cs="Arial"/>
          <w:sz w:val="20"/>
        </w:rPr>
        <w:t>Out of the 166 alerts that were managed during 2013:-</w:t>
      </w:r>
    </w:p>
    <w:p w:rsidR="00884193" w:rsidRPr="00851A4A" w:rsidRDefault="00884193" w:rsidP="00D53E91">
      <w:pPr>
        <w:jc w:val="both"/>
        <w:rPr>
          <w:rFonts w:cs="Arial"/>
          <w:sz w:val="20"/>
        </w:rPr>
      </w:pPr>
    </w:p>
    <w:p w:rsidR="00884193" w:rsidRPr="00851A4A" w:rsidRDefault="00884193" w:rsidP="00D53E91">
      <w:pPr>
        <w:numPr>
          <w:ilvl w:val="0"/>
          <w:numId w:val="19"/>
        </w:numPr>
        <w:ind w:left="765"/>
        <w:jc w:val="both"/>
        <w:rPr>
          <w:rFonts w:cs="Arial"/>
          <w:sz w:val="20"/>
        </w:rPr>
      </w:pPr>
      <w:r w:rsidRPr="00851A4A">
        <w:rPr>
          <w:rFonts w:cs="Arial"/>
          <w:sz w:val="20"/>
        </w:rPr>
        <w:t xml:space="preserve">163 were managed and closed within the deadline for completion dates. </w:t>
      </w:r>
    </w:p>
    <w:p w:rsidR="00884193" w:rsidRPr="00851A4A" w:rsidRDefault="00884193" w:rsidP="00D53E91">
      <w:pPr>
        <w:ind w:left="765"/>
        <w:jc w:val="both"/>
        <w:rPr>
          <w:rFonts w:cs="Arial"/>
          <w:sz w:val="20"/>
        </w:rPr>
      </w:pPr>
    </w:p>
    <w:p w:rsidR="00884193" w:rsidRPr="00851A4A" w:rsidRDefault="00884193" w:rsidP="00D53E91">
      <w:pPr>
        <w:numPr>
          <w:ilvl w:val="0"/>
          <w:numId w:val="19"/>
        </w:numPr>
        <w:ind w:left="765"/>
        <w:jc w:val="both"/>
        <w:rPr>
          <w:rFonts w:cs="Arial"/>
          <w:sz w:val="20"/>
        </w:rPr>
      </w:pPr>
      <w:r w:rsidRPr="00851A4A">
        <w:rPr>
          <w:rFonts w:cs="Arial"/>
          <w:sz w:val="20"/>
        </w:rPr>
        <w:t xml:space="preserve">1 was managed and closed within a week of the deadline for completion date </w:t>
      </w:r>
    </w:p>
    <w:p w:rsidR="00884193" w:rsidRPr="00851A4A" w:rsidRDefault="00884193" w:rsidP="00D53E91">
      <w:pPr>
        <w:jc w:val="both"/>
        <w:rPr>
          <w:rFonts w:cs="Arial"/>
          <w:sz w:val="20"/>
        </w:rPr>
      </w:pPr>
    </w:p>
    <w:p w:rsidR="00884193" w:rsidRPr="00851A4A" w:rsidRDefault="00884193" w:rsidP="00D53E91">
      <w:pPr>
        <w:numPr>
          <w:ilvl w:val="0"/>
          <w:numId w:val="19"/>
        </w:numPr>
        <w:ind w:left="765"/>
        <w:jc w:val="both"/>
        <w:rPr>
          <w:rFonts w:cs="Arial"/>
          <w:sz w:val="20"/>
        </w:rPr>
      </w:pPr>
      <w:r w:rsidRPr="00851A4A">
        <w:rPr>
          <w:rFonts w:cs="Arial"/>
          <w:sz w:val="20"/>
        </w:rPr>
        <w:t>2 continue to remain open past the deadline for completion dates and will continue to be monitored during 2014. Risk assessments have been completed and actions are in place to mitigate the risks associated with the alerts until they can be closed.</w:t>
      </w:r>
    </w:p>
    <w:p w:rsidR="00884193" w:rsidRPr="00851A4A" w:rsidRDefault="00884193" w:rsidP="00D53E91">
      <w:pPr>
        <w:jc w:val="both"/>
        <w:rPr>
          <w:rFonts w:cs="Arial"/>
          <w:sz w:val="20"/>
        </w:rPr>
      </w:pPr>
    </w:p>
    <w:p w:rsidR="00884193" w:rsidRPr="00851A4A" w:rsidRDefault="00884193" w:rsidP="00D53E91">
      <w:pPr>
        <w:numPr>
          <w:ilvl w:val="0"/>
          <w:numId w:val="19"/>
        </w:numPr>
        <w:ind w:left="765"/>
        <w:jc w:val="both"/>
        <w:rPr>
          <w:rFonts w:cs="Arial"/>
          <w:sz w:val="20"/>
        </w:rPr>
      </w:pPr>
      <w:r w:rsidRPr="00851A4A">
        <w:rPr>
          <w:rFonts w:cs="Arial"/>
          <w:sz w:val="20"/>
        </w:rPr>
        <w:t>7 alerts will continue to be managed during 2014 that are within the deadline for completion dates.</w:t>
      </w:r>
    </w:p>
    <w:p w:rsidR="00884193" w:rsidRPr="00851A4A" w:rsidRDefault="00884193" w:rsidP="00D53E91">
      <w:pPr>
        <w:jc w:val="both"/>
        <w:rPr>
          <w:rFonts w:cs="Arial"/>
          <w:sz w:val="20"/>
        </w:rPr>
      </w:pPr>
    </w:p>
    <w:p w:rsidR="00884193" w:rsidRPr="00851A4A" w:rsidRDefault="00884193" w:rsidP="00D53E91">
      <w:pPr>
        <w:jc w:val="both"/>
        <w:rPr>
          <w:rFonts w:cs="Arial"/>
          <w:sz w:val="20"/>
        </w:rPr>
      </w:pPr>
      <w:r w:rsidRPr="00851A4A">
        <w:rPr>
          <w:rFonts w:cs="Arial"/>
          <w:sz w:val="20"/>
        </w:rPr>
        <w:t>The monthly safety alert status report will continue to be circulated widely throughout the organisation. Exception reports will continue to be provided to the Trust Safety Committee.</w:t>
      </w:r>
    </w:p>
    <w:p w:rsidR="00B173F7" w:rsidRDefault="00B173F7" w:rsidP="00D53E91">
      <w:pPr>
        <w:jc w:val="both"/>
        <w:rPr>
          <w:sz w:val="20"/>
        </w:rPr>
      </w:pPr>
    </w:p>
    <w:p w:rsidR="00750B2B" w:rsidRPr="00750B2B" w:rsidRDefault="00750B2B" w:rsidP="00D53E91">
      <w:pPr>
        <w:jc w:val="both"/>
        <w:rPr>
          <w:sz w:val="20"/>
        </w:rPr>
      </w:pPr>
    </w:p>
    <w:p w:rsidR="0015589A" w:rsidRPr="000F1478" w:rsidRDefault="0015589A" w:rsidP="00D53E91">
      <w:pPr>
        <w:jc w:val="both"/>
        <w:rPr>
          <w:rFonts w:cs="Arial"/>
          <w:b/>
        </w:rPr>
      </w:pPr>
      <w:r>
        <w:rPr>
          <w:rFonts w:cs="Arial"/>
          <w:b/>
        </w:rPr>
        <w:t>10.</w:t>
      </w:r>
      <w:r>
        <w:rPr>
          <w:rFonts w:cs="Arial"/>
          <w:b/>
        </w:rPr>
        <w:tab/>
      </w:r>
      <w:r w:rsidRPr="000F1478">
        <w:rPr>
          <w:rFonts w:cs="Arial"/>
          <w:b/>
        </w:rPr>
        <w:t>Adverse incidents involving medical devices</w:t>
      </w:r>
    </w:p>
    <w:p w:rsidR="0015589A" w:rsidRPr="00750B2B" w:rsidRDefault="0015589A" w:rsidP="00D53E91">
      <w:pPr>
        <w:jc w:val="both"/>
        <w:rPr>
          <w:rFonts w:cs="Arial"/>
          <w:sz w:val="20"/>
        </w:rPr>
      </w:pPr>
    </w:p>
    <w:p w:rsidR="0015589A" w:rsidRDefault="0015589A" w:rsidP="00D53E91">
      <w:pPr>
        <w:jc w:val="both"/>
        <w:rPr>
          <w:rFonts w:cs="Arial"/>
          <w:sz w:val="20"/>
        </w:rPr>
      </w:pPr>
      <w:r w:rsidRPr="00750B2B">
        <w:rPr>
          <w:rFonts w:cs="Arial"/>
          <w:sz w:val="20"/>
        </w:rPr>
        <w:t>All untoward incidents occurring in the trust are logged into the Datix risk management system. Details of those incidents where a medical device was involved are identified and a summary report prepared by the Medical Devices Manager and Coordinator for discussion at Medical Device Committee meetings. These incidents are investigated to determine the causes and identify control measures required to prevent reoccurrences.</w:t>
      </w:r>
      <w:r w:rsidR="00884193">
        <w:rPr>
          <w:rFonts w:cs="Arial"/>
          <w:sz w:val="20"/>
        </w:rPr>
        <w:t xml:space="preserve"> Reports identified as due to unavailable equipment are also investigated to ensure actions are in place to avoid any reoccurrence.</w:t>
      </w:r>
    </w:p>
    <w:p w:rsidR="0015589A" w:rsidRPr="00750B2B" w:rsidRDefault="0015589A" w:rsidP="00D53E91">
      <w:pPr>
        <w:jc w:val="both"/>
        <w:rPr>
          <w:rFonts w:cs="Arial"/>
          <w:sz w:val="20"/>
        </w:rPr>
      </w:pPr>
    </w:p>
    <w:p w:rsidR="0015589A" w:rsidRDefault="0015589A" w:rsidP="00D53E91">
      <w:pPr>
        <w:jc w:val="both"/>
        <w:rPr>
          <w:rFonts w:cs="Arial"/>
          <w:sz w:val="20"/>
        </w:rPr>
      </w:pPr>
      <w:r w:rsidRPr="00750B2B">
        <w:rPr>
          <w:rFonts w:cs="Arial"/>
          <w:sz w:val="20"/>
        </w:rPr>
        <w:t>The MHRA reporting process is robust and traceable and all MHRA, NPSA and manufacturer alerts and recalls are managed and logged. Staff training on handling incident management and reporting is also available.</w:t>
      </w:r>
    </w:p>
    <w:p w:rsidR="00FD05DD" w:rsidRPr="00750B2B" w:rsidRDefault="00FD05DD" w:rsidP="00D53E91">
      <w:pPr>
        <w:jc w:val="both"/>
        <w:rPr>
          <w:rFonts w:cs="Arial"/>
          <w:sz w:val="20"/>
        </w:rPr>
      </w:pPr>
    </w:p>
    <w:p w:rsidR="00621438" w:rsidRPr="00750B2B" w:rsidRDefault="00FD05DD" w:rsidP="00D53E91">
      <w:pPr>
        <w:jc w:val="both"/>
        <w:rPr>
          <w:rFonts w:cs="Arial"/>
          <w:sz w:val="20"/>
        </w:rPr>
      </w:pPr>
      <w:r w:rsidRPr="00750B2B">
        <w:rPr>
          <w:rFonts w:cs="Arial"/>
          <w:sz w:val="20"/>
        </w:rPr>
        <w:t xml:space="preserve"> </w:t>
      </w:r>
      <w:r w:rsidR="00621438" w:rsidRPr="00750B2B">
        <w:rPr>
          <w:rFonts w:cs="Arial"/>
          <w:sz w:val="20"/>
        </w:rPr>
        <w:t>In the 12 months January to December 201</w:t>
      </w:r>
      <w:r w:rsidR="00621438">
        <w:rPr>
          <w:rFonts w:cs="Arial"/>
          <w:sz w:val="20"/>
        </w:rPr>
        <w:t>3</w:t>
      </w:r>
      <w:r w:rsidR="00621438" w:rsidRPr="00750B2B">
        <w:rPr>
          <w:rFonts w:cs="Arial"/>
          <w:sz w:val="20"/>
        </w:rPr>
        <w:t xml:space="preserve"> a total of 1</w:t>
      </w:r>
      <w:r w:rsidR="00621438">
        <w:rPr>
          <w:rFonts w:cs="Arial"/>
          <w:sz w:val="20"/>
        </w:rPr>
        <w:t>2</w:t>
      </w:r>
      <w:r w:rsidR="00621438" w:rsidRPr="00750B2B">
        <w:rPr>
          <w:rFonts w:cs="Arial"/>
          <w:sz w:val="20"/>
        </w:rPr>
        <w:t>8 incidents involving Medical Devices were reported and investigated by the Medical Devices Manager and Coordinator. 2</w:t>
      </w:r>
      <w:r w:rsidR="00621438">
        <w:rPr>
          <w:rFonts w:cs="Arial"/>
          <w:sz w:val="20"/>
        </w:rPr>
        <w:t>2</w:t>
      </w:r>
      <w:r w:rsidR="00621438" w:rsidRPr="00750B2B">
        <w:rPr>
          <w:rFonts w:cs="Arial"/>
          <w:sz w:val="20"/>
        </w:rPr>
        <w:t xml:space="preserve"> incidents were notified to the MHRA using their on-line reporting facility and </w:t>
      </w:r>
      <w:r w:rsidR="00621438">
        <w:rPr>
          <w:rFonts w:cs="Arial"/>
          <w:sz w:val="20"/>
        </w:rPr>
        <w:t>76</w:t>
      </w:r>
      <w:r w:rsidR="00621438" w:rsidRPr="00750B2B">
        <w:rPr>
          <w:rFonts w:cs="Arial"/>
          <w:sz w:val="20"/>
        </w:rPr>
        <w:t xml:space="preserve"> medical device alerts and product recalls were also managed.</w:t>
      </w:r>
    </w:p>
    <w:p w:rsidR="00621438" w:rsidRPr="00750B2B" w:rsidRDefault="00621438" w:rsidP="00D53E91">
      <w:pPr>
        <w:jc w:val="both"/>
        <w:rPr>
          <w:rFonts w:cs="Arial"/>
          <w:sz w:val="20"/>
        </w:rPr>
      </w:pPr>
    </w:p>
    <w:p w:rsidR="00621438" w:rsidRPr="00750B2B" w:rsidRDefault="00621438" w:rsidP="00D53E91">
      <w:pPr>
        <w:jc w:val="both"/>
        <w:rPr>
          <w:rFonts w:cs="Arial"/>
          <w:sz w:val="20"/>
        </w:rPr>
      </w:pPr>
      <w:r w:rsidRPr="00750B2B">
        <w:rPr>
          <w:rFonts w:cs="Arial"/>
          <w:sz w:val="20"/>
        </w:rPr>
        <w:lastRenderedPageBreak/>
        <w:t>All alerts and recalls received in 201</w:t>
      </w:r>
      <w:r>
        <w:rPr>
          <w:rFonts w:cs="Arial"/>
          <w:sz w:val="20"/>
        </w:rPr>
        <w:t>3</w:t>
      </w:r>
      <w:r w:rsidRPr="00750B2B">
        <w:rPr>
          <w:rFonts w:cs="Arial"/>
          <w:sz w:val="20"/>
        </w:rPr>
        <w:t xml:space="preserve"> have been managed to completion. Prompt action and resolution of both reported incidents and received alerts underline the Trust’s responsibility to properly control all medical device systems &amp; processes rigorously to ensure continued patient and staff safety.  </w:t>
      </w:r>
    </w:p>
    <w:p w:rsidR="00621438" w:rsidRPr="00750B2B" w:rsidRDefault="00621438" w:rsidP="00D53E91">
      <w:pPr>
        <w:jc w:val="both"/>
        <w:rPr>
          <w:rFonts w:cs="Arial"/>
          <w:sz w:val="20"/>
        </w:rPr>
      </w:pPr>
    </w:p>
    <w:p w:rsidR="00FD05DD" w:rsidRPr="00750B2B" w:rsidRDefault="00FD05DD" w:rsidP="0015589A">
      <w:pPr>
        <w:rPr>
          <w:rFonts w:cs="Arial"/>
          <w:b/>
          <w:u w:val="single"/>
        </w:rPr>
      </w:pPr>
      <w:r w:rsidRPr="00750B2B">
        <w:rPr>
          <w:rFonts w:cs="Arial"/>
          <w:b/>
          <w:u w:val="single"/>
        </w:rPr>
        <w:t>Equipment</w:t>
      </w:r>
      <w:r w:rsidR="00FC2782">
        <w:rPr>
          <w:rFonts w:cs="Arial"/>
          <w:b/>
          <w:u w:val="single"/>
        </w:rPr>
        <w:t xml:space="preserve"> </w:t>
      </w:r>
      <w:r w:rsidRPr="00750B2B">
        <w:rPr>
          <w:rFonts w:cs="Arial"/>
          <w:b/>
          <w:u w:val="single"/>
        </w:rPr>
        <w:t xml:space="preserve">Unavailable Incidents Reported by </w:t>
      </w:r>
      <w:r w:rsidR="00B5020D">
        <w:rPr>
          <w:rFonts w:cs="Arial"/>
          <w:b/>
          <w:u w:val="single"/>
        </w:rPr>
        <w:t xml:space="preserve">Month, </w:t>
      </w:r>
      <w:r w:rsidRPr="00750B2B">
        <w:rPr>
          <w:rFonts w:cs="Arial"/>
          <w:b/>
          <w:u w:val="single"/>
        </w:rPr>
        <w:t>Division</w:t>
      </w:r>
      <w:r w:rsidR="00B5020D">
        <w:rPr>
          <w:rFonts w:cs="Arial"/>
          <w:b/>
          <w:u w:val="single"/>
        </w:rPr>
        <w:t xml:space="preserve"> &amp; Category</w:t>
      </w:r>
      <w:r w:rsidRPr="00750B2B">
        <w:rPr>
          <w:rFonts w:cs="Arial"/>
          <w:b/>
          <w:u w:val="single"/>
        </w:rPr>
        <w:t xml:space="preserve"> - 201</w:t>
      </w:r>
      <w:r w:rsidR="00B5020D">
        <w:rPr>
          <w:rFonts w:cs="Arial"/>
          <w:b/>
          <w:u w:val="single"/>
        </w:rPr>
        <w:t>3</w:t>
      </w:r>
      <w:r w:rsidRPr="00750B2B">
        <w:rPr>
          <w:rFonts w:cs="Arial"/>
          <w:b/>
          <w:u w:val="single"/>
        </w:rPr>
        <w:t>.</w:t>
      </w:r>
    </w:p>
    <w:p w:rsidR="00FD05DD" w:rsidRDefault="00FD05DD" w:rsidP="0015589A">
      <w:pPr>
        <w:rPr>
          <w:rFonts w:cs="Arial"/>
        </w:rPr>
      </w:pPr>
      <w:r>
        <w:rPr>
          <w:rFonts w:cs="Arial"/>
        </w:rPr>
        <w:t xml:space="preserve"> </w:t>
      </w:r>
    </w:p>
    <w:p w:rsidR="00B224F0" w:rsidRPr="00750B2B" w:rsidRDefault="00B224F0" w:rsidP="00B224F0">
      <w:pPr>
        <w:rPr>
          <w:rFonts w:cs="Arial"/>
          <w:sz w:val="20"/>
        </w:rPr>
      </w:pPr>
      <w:r w:rsidRPr="00750B2B">
        <w:rPr>
          <w:rFonts w:cs="Arial"/>
          <w:sz w:val="20"/>
        </w:rPr>
        <w:t xml:space="preserve">A total of </w:t>
      </w:r>
      <w:r>
        <w:rPr>
          <w:rFonts w:cs="Arial"/>
          <w:sz w:val="20"/>
        </w:rPr>
        <w:t>93</w:t>
      </w:r>
      <w:r w:rsidRPr="00750B2B">
        <w:rPr>
          <w:rFonts w:cs="Arial"/>
          <w:sz w:val="20"/>
        </w:rPr>
        <w:t xml:space="preserve"> reports </w:t>
      </w:r>
      <w:r w:rsidR="00621438">
        <w:rPr>
          <w:rFonts w:cs="Arial"/>
          <w:sz w:val="20"/>
        </w:rPr>
        <w:t xml:space="preserve">of equipment unavailable </w:t>
      </w:r>
      <w:r w:rsidRPr="00750B2B">
        <w:rPr>
          <w:rFonts w:cs="Arial"/>
          <w:sz w:val="20"/>
        </w:rPr>
        <w:t>were logged</w:t>
      </w:r>
      <w:r>
        <w:rPr>
          <w:rFonts w:cs="Arial"/>
          <w:sz w:val="20"/>
        </w:rPr>
        <w:t xml:space="preserve"> and resolved</w:t>
      </w:r>
      <w:r w:rsidRPr="00750B2B">
        <w:rPr>
          <w:rFonts w:cs="Arial"/>
          <w:sz w:val="20"/>
        </w:rPr>
        <w:t xml:space="preserve"> in 201</w:t>
      </w:r>
      <w:r>
        <w:rPr>
          <w:rFonts w:cs="Arial"/>
          <w:sz w:val="20"/>
        </w:rPr>
        <w:t>3.</w:t>
      </w:r>
    </w:p>
    <w:p w:rsidR="00B224F0" w:rsidRDefault="00B224F0" w:rsidP="0015589A">
      <w:pPr>
        <w:rPr>
          <w:rFonts w:cs="Arial"/>
        </w:rPr>
      </w:pPr>
    </w:p>
    <w:p w:rsidR="00B5020D" w:rsidRDefault="00B5020D" w:rsidP="0015589A">
      <w:pPr>
        <w:rPr>
          <w:rFonts w:cs="Arial"/>
          <w:sz w:val="20"/>
        </w:rPr>
      </w:pPr>
      <w:r w:rsidRPr="00624942">
        <w:rPr>
          <w:rFonts w:cs="Arial"/>
          <w:sz w:val="20"/>
        </w:rPr>
        <w:t>Equipment Unavailable Trust wide per Month</w:t>
      </w:r>
    </w:p>
    <w:p w:rsidR="00D53E91" w:rsidRPr="00624942" w:rsidRDefault="00D53E91" w:rsidP="0015589A">
      <w:pPr>
        <w:rPr>
          <w:rFonts w:cs="Arial"/>
          <w:sz w:val="20"/>
        </w:rPr>
      </w:pPr>
    </w:p>
    <w:p w:rsidR="00ED2B94" w:rsidRDefault="00B5020D" w:rsidP="0015589A">
      <w:pPr>
        <w:rPr>
          <w:rFonts w:cs="Arial"/>
        </w:rPr>
      </w:pPr>
      <w:r w:rsidRPr="00B5020D">
        <w:rPr>
          <w:rFonts w:cs="Arial"/>
          <w:noProof/>
          <w:lang w:eastAsia="en-GB"/>
        </w:rPr>
        <w:drawing>
          <wp:inline distT="0" distB="0" distL="0" distR="0">
            <wp:extent cx="4448175" cy="2247900"/>
            <wp:effectExtent l="19050" t="0" r="9525"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4942" w:rsidRDefault="00624942" w:rsidP="0015589A">
      <w:pPr>
        <w:rPr>
          <w:rFonts w:cs="Arial"/>
          <w:sz w:val="20"/>
        </w:rPr>
      </w:pPr>
    </w:p>
    <w:p w:rsidR="00D53E91" w:rsidRDefault="00D53E91" w:rsidP="0015589A">
      <w:pPr>
        <w:rPr>
          <w:rFonts w:cs="Arial"/>
          <w:sz w:val="20"/>
        </w:rPr>
      </w:pPr>
    </w:p>
    <w:p w:rsidR="005A64EA" w:rsidRDefault="005A64EA" w:rsidP="0015589A">
      <w:pPr>
        <w:rPr>
          <w:rFonts w:cs="Arial"/>
          <w:sz w:val="20"/>
        </w:rPr>
      </w:pPr>
    </w:p>
    <w:p w:rsidR="00B5020D" w:rsidRDefault="00B5020D" w:rsidP="0015589A">
      <w:pPr>
        <w:rPr>
          <w:rFonts w:cs="Arial"/>
          <w:sz w:val="20"/>
        </w:rPr>
      </w:pPr>
      <w:r w:rsidRPr="00624942">
        <w:rPr>
          <w:rFonts w:cs="Arial"/>
          <w:sz w:val="20"/>
        </w:rPr>
        <w:t>Equipment Unavailable by Division -2013</w:t>
      </w:r>
    </w:p>
    <w:p w:rsidR="00D53E91" w:rsidRPr="00624942" w:rsidRDefault="00D53E91" w:rsidP="0015589A">
      <w:pPr>
        <w:rPr>
          <w:rFonts w:cs="Arial"/>
          <w:sz w:val="20"/>
        </w:rPr>
      </w:pPr>
    </w:p>
    <w:p w:rsidR="00B5020D" w:rsidRDefault="00B5020D" w:rsidP="0015589A">
      <w:pPr>
        <w:rPr>
          <w:rFonts w:cs="Arial"/>
        </w:rPr>
      </w:pPr>
      <w:r w:rsidRPr="00B5020D">
        <w:rPr>
          <w:rFonts w:cs="Arial"/>
          <w:noProof/>
          <w:lang w:eastAsia="en-GB"/>
        </w:rPr>
        <w:drawing>
          <wp:inline distT="0" distB="0" distL="0" distR="0">
            <wp:extent cx="4381500" cy="2390775"/>
            <wp:effectExtent l="19050" t="0" r="1905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4942" w:rsidRDefault="00624942" w:rsidP="0015589A">
      <w:pPr>
        <w:rPr>
          <w:rFonts w:cs="Arial"/>
          <w:sz w:val="20"/>
        </w:rPr>
      </w:pPr>
    </w:p>
    <w:p w:rsidR="005A64EA" w:rsidRDefault="005A64EA" w:rsidP="0015589A">
      <w:pPr>
        <w:rPr>
          <w:rFonts w:cs="Arial"/>
          <w:sz w:val="20"/>
        </w:rPr>
      </w:pPr>
    </w:p>
    <w:p w:rsidR="00B5020D" w:rsidRDefault="00B5020D" w:rsidP="0015589A">
      <w:pPr>
        <w:rPr>
          <w:rFonts w:cs="Arial"/>
          <w:sz w:val="20"/>
        </w:rPr>
      </w:pPr>
      <w:r w:rsidRPr="00624942">
        <w:rPr>
          <w:rFonts w:cs="Arial"/>
          <w:sz w:val="20"/>
        </w:rPr>
        <w:t>Equipment Unavailable by Category of Incident Reported</w:t>
      </w:r>
    </w:p>
    <w:p w:rsidR="00D53E91" w:rsidRPr="00624942" w:rsidRDefault="00D53E91" w:rsidP="0015589A">
      <w:pPr>
        <w:rPr>
          <w:rFonts w:cs="Arial"/>
          <w:sz w:val="20"/>
        </w:rPr>
      </w:pPr>
    </w:p>
    <w:p w:rsidR="00B5020D" w:rsidRDefault="00B5020D" w:rsidP="0015589A">
      <w:pPr>
        <w:rPr>
          <w:rFonts w:cs="Arial"/>
        </w:rPr>
      </w:pPr>
      <w:r w:rsidRPr="00B5020D">
        <w:rPr>
          <w:rFonts w:cs="Arial"/>
          <w:noProof/>
          <w:lang w:eastAsia="en-GB"/>
        </w:rPr>
        <w:lastRenderedPageBreak/>
        <w:drawing>
          <wp:inline distT="0" distB="0" distL="0" distR="0">
            <wp:extent cx="4572000" cy="2057400"/>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21438" w:rsidRDefault="00621438" w:rsidP="00621438">
      <w:pPr>
        <w:tabs>
          <w:tab w:val="left" w:pos="1380"/>
        </w:tabs>
        <w:rPr>
          <w:rFonts w:cs="Arial"/>
          <w:b/>
          <w:szCs w:val="24"/>
        </w:rPr>
      </w:pPr>
    </w:p>
    <w:p w:rsidR="00621438" w:rsidRDefault="00621438" w:rsidP="00621438">
      <w:pPr>
        <w:tabs>
          <w:tab w:val="left" w:pos="1380"/>
        </w:tabs>
        <w:rPr>
          <w:rFonts w:cs="Arial"/>
          <w:b/>
          <w:szCs w:val="24"/>
        </w:rPr>
      </w:pPr>
    </w:p>
    <w:p w:rsidR="00621438" w:rsidRDefault="00621438" w:rsidP="00621438">
      <w:pPr>
        <w:tabs>
          <w:tab w:val="left" w:pos="1380"/>
        </w:tabs>
        <w:rPr>
          <w:rFonts w:cs="Arial"/>
          <w:b/>
          <w:szCs w:val="24"/>
        </w:rPr>
      </w:pPr>
    </w:p>
    <w:p w:rsidR="00621438" w:rsidRDefault="00621438" w:rsidP="00621438">
      <w:pPr>
        <w:tabs>
          <w:tab w:val="left" w:pos="1380"/>
        </w:tabs>
        <w:rPr>
          <w:rFonts w:cs="Arial"/>
          <w:b/>
          <w:szCs w:val="24"/>
        </w:rPr>
      </w:pPr>
    </w:p>
    <w:tbl>
      <w:tblPr>
        <w:tblpPr w:leftFromText="180" w:rightFromText="180" w:vertAnchor="text" w:horzAnchor="page" w:tblpX="1213" w:tblpY="704"/>
        <w:tblW w:w="7200" w:type="dxa"/>
        <w:tblLook w:val="04A0"/>
      </w:tblPr>
      <w:tblGrid>
        <w:gridCol w:w="1440"/>
        <w:gridCol w:w="960"/>
        <w:gridCol w:w="960"/>
        <w:gridCol w:w="960"/>
        <w:gridCol w:w="960"/>
        <w:gridCol w:w="960"/>
        <w:gridCol w:w="960"/>
      </w:tblGrid>
      <w:tr w:rsidR="00D53E91" w:rsidRPr="006C3F03" w:rsidTr="00D53E91">
        <w:trPr>
          <w:trHeight w:val="255"/>
        </w:trPr>
        <w:tc>
          <w:tcPr>
            <w:tcW w:w="144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 </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SH / COM</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BHH</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GHH</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CSS</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W&amp;C</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Totals</w:t>
            </w:r>
          </w:p>
        </w:tc>
      </w:tr>
      <w:tr w:rsidR="00D53E91" w:rsidRPr="006C3F03" w:rsidTr="00D53E91">
        <w:trPr>
          <w:trHeight w:val="255"/>
        </w:trPr>
        <w:tc>
          <w:tcPr>
            <w:tcW w:w="144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Q1 2012-13</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5</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9</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2</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10</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1</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27</w:t>
            </w:r>
          </w:p>
        </w:tc>
      </w:tr>
      <w:tr w:rsidR="00D53E91" w:rsidRPr="006C3F03" w:rsidTr="00D53E91">
        <w:trPr>
          <w:trHeight w:val="255"/>
        </w:trPr>
        <w:tc>
          <w:tcPr>
            <w:tcW w:w="144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Q2</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1</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7</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5</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9</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1</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23</w:t>
            </w:r>
          </w:p>
        </w:tc>
      </w:tr>
      <w:tr w:rsidR="00D53E91" w:rsidRPr="006C3F03" w:rsidTr="00D53E91">
        <w:trPr>
          <w:trHeight w:val="255"/>
        </w:trPr>
        <w:tc>
          <w:tcPr>
            <w:tcW w:w="144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Q3</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2</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8</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6</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19</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5</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40</w:t>
            </w:r>
          </w:p>
        </w:tc>
      </w:tr>
      <w:tr w:rsidR="00D53E91" w:rsidRPr="006C3F03" w:rsidTr="00D53E91">
        <w:trPr>
          <w:trHeight w:val="255"/>
        </w:trPr>
        <w:tc>
          <w:tcPr>
            <w:tcW w:w="144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Q4</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4</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8</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5</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15</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4</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36</w:t>
            </w:r>
          </w:p>
        </w:tc>
      </w:tr>
      <w:tr w:rsidR="00D53E91" w:rsidRPr="006C3F03" w:rsidTr="00D53E91">
        <w:trPr>
          <w:trHeight w:val="255"/>
        </w:trPr>
        <w:tc>
          <w:tcPr>
            <w:tcW w:w="144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Q1 2013-14</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5</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7</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8</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8</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4</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32</w:t>
            </w:r>
          </w:p>
        </w:tc>
      </w:tr>
      <w:tr w:rsidR="00D53E91" w:rsidRPr="006C3F03" w:rsidTr="00D53E91">
        <w:trPr>
          <w:trHeight w:val="255"/>
        </w:trPr>
        <w:tc>
          <w:tcPr>
            <w:tcW w:w="144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Q2 2013-14</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1</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2</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6</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10</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5</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24</w:t>
            </w:r>
          </w:p>
        </w:tc>
      </w:tr>
      <w:tr w:rsidR="00D53E91" w:rsidRPr="006C3F03" w:rsidTr="00D53E91">
        <w:trPr>
          <w:trHeight w:val="255"/>
        </w:trPr>
        <w:tc>
          <w:tcPr>
            <w:tcW w:w="144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Q3 2013-14</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1</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14</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3</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11</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5</w:t>
            </w:r>
          </w:p>
        </w:tc>
        <w:tc>
          <w:tcPr>
            <w:tcW w:w="960" w:type="dxa"/>
            <w:tcBorders>
              <w:top w:val="nil"/>
              <w:left w:val="nil"/>
              <w:bottom w:val="nil"/>
              <w:right w:val="nil"/>
            </w:tcBorders>
            <w:shd w:val="clear" w:color="auto" w:fill="auto"/>
            <w:noWrap/>
            <w:vAlign w:val="bottom"/>
            <w:hideMark/>
          </w:tcPr>
          <w:p w:rsidR="00D53E91" w:rsidRPr="006C3F03" w:rsidRDefault="00D53E91" w:rsidP="00D53E91">
            <w:pPr>
              <w:rPr>
                <w:rFonts w:cs="Arial"/>
                <w:sz w:val="20"/>
                <w:lang w:eastAsia="en-GB"/>
              </w:rPr>
            </w:pPr>
            <w:r w:rsidRPr="006C3F03">
              <w:rPr>
                <w:rFonts w:cs="Arial"/>
                <w:sz w:val="20"/>
                <w:lang w:eastAsia="en-GB"/>
              </w:rPr>
              <w:t>34</w:t>
            </w:r>
          </w:p>
        </w:tc>
      </w:tr>
      <w:tr w:rsidR="00D53E91" w:rsidRPr="00351586" w:rsidTr="00D53E91">
        <w:trPr>
          <w:trHeight w:val="255"/>
        </w:trPr>
        <w:tc>
          <w:tcPr>
            <w:tcW w:w="1440" w:type="dxa"/>
            <w:tcBorders>
              <w:top w:val="nil"/>
              <w:left w:val="nil"/>
              <w:bottom w:val="nil"/>
              <w:right w:val="nil"/>
            </w:tcBorders>
            <w:shd w:val="clear" w:color="auto" w:fill="auto"/>
            <w:noWrap/>
            <w:vAlign w:val="bottom"/>
            <w:hideMark/>
          </w:tcPr>
          <w:p w:rsidR="00D53E91" w:rsidRPr="00351586" w:rsidRDefault="00D53E91" w:rsidP="00D53E91">
            <w:pPr>
              <w:rPr>
                <w:rFonts w:cs="Arial"/>
                <w:sz w:val="20"/>
                <w:lang w:eastAsia="en-GB"/>
              </w:rPr>
            </w:pPr>
          </w:p>
        </w:tc>
        <w:tc>
          <w:tcPr>
            <w:tcW w:w="960" w:type="dxa"/>
            <w:tcBorders>
              <w:top w:val="nil"/>
              <w:left w:val="nil"/>
              <w:bottom w:val="nil"/>
              <w:right w:val="nil"/>
            </w:tcBorders>
            <w:shd w:val="clear" w:color="auto" w:fill="auto"/>
            <w:noWrap/>
            <w:vAlign w:val="bottom"/>
            <w:hideMark/>
          </w:tcPr>
          <w:p w:rsidR="00D53E91" w:rsidRPr="00351586" w:rsidRDefault="00D53E91" w:rsidP="00D53E91">
            <w:pPr>
              <w:rPr>
                <w:rFonts w:cs="Arial"/>
                <w:sz w:val="20"/>
                <w:lang w:eastAsia="en-GB"/>
              </w:rPr>
            </w:pPr>
          </w:p>
        </w:tc>
        <w:tc>
          <w:tcPr>
            <w:tcW w:w="960" w:type="dxa"/>
            <w:tcBorders>
              <w:top w:val="nil"/>
              <w:left w:val="nil"/>
              <w:bottom w:val="nil"/>
              <w:right w:val="nil"/>
            </w:tcBorders>
            <w:shd w:val="clear" w:color="auto" w:fill="auto"/>
            <w:noWrap/>
            <w:vAlign w:val="bottom"/>
            <w:hideMark/>
          </w:tcPr>
          <w:p w:rsidR="00D53E91" w:rsidRPr="00351586" w:rsidRDefault="00D53E91" w:rsidP="00D53E91">
            <w:pPr>
              <w:rPr>
                <w:rFonts w:cs="Arial"/>
                <w:sz w:val="20"/>
                <w:lang w:eastAsia="en-GB"/>
              </w:rPr>
            </w:pPr>
          </w:p>
        </w:tc>
        <w:tc>
          <w:tcPr>
            <w:tcW w:w="960" w:type="dxa"/>
            <w:tcBorders>
              <w:top w:val="nil"/>
              <w:left w:val="nil"/>
              <w:bottom w:val="nil"/>
              <w:right w:val="nil"/>
            </w:tcBorders>
            <w:shd w:val="clear" w:color="auto" w:fill="auto"/>
            <w:noWrap/>
            <w:vAlign w:val="bottom"/>
            <w:hideMark/>
          </w:tcPr>
          <w:p w:rsidR="00D53E91" w:rsidRPr="00351586" w:rsidRDefault="00D53E91" w:rsidP="00D53E91">
            <w:pPr>
              <w:rPr>
                <w:rFonts w:cs="Arial"/>
                <w:sz w:val="20"/>
                <w:lang w:eastAsia="en-GB"/>
              </w:rPr>
            </w:pPr>
          </w:p>
        </w:tc>
        <w:tc>
          <w:tcPr>
            <w:tcW w:w="960" w:type="dxa"/>
            <w:tcBorders>
              <w:top w:val="nil"/>
              <w:left w:val="nil"/>
              <w:bottom w:val="nil"/>
              <w:right w:val="nil"/>
            </w:tcBorders>
            <w:shd w:val="clear" w:color="auto" w:fill="auto"/>
            <w:noWrap/>
            <w:vAlign w:val="bottom"/>
            <w:hideMark/>
          </w:tcPr>
          <w:p w:rsidR="00D53E91" w:rsidRPr="00351586" w:rsidRDefault="00D53E91" w:rsidP="00D53E91">
            <w:pPr>
              <w:rPr>
                <w:rFonts w:cs="Arial"/>
                <w:sz w:val="20"/>
                <w:lang w:eastAsia="en-GB"/>
              </w:rPr>
            </w:pPr>
          </w:p>
        </w:tc>
        <w:tc>
          <w:tcPr>
            <w:tcW w:w="960" w:type="dxa"/>
            <w:tcBorders>
              <w:top w:val="nil"/>
              <w:left w:val="nil"/>
              <w:bottom w:val="nil"/>
              <w:right w:val="nil"/>
            </w:tcBorders>
            <w:shd w:val="clear" w:color="auto" w:fill="auto"/>
            <w:noWrap/>
            <w:vAlign w:val="bottom"/>
            <w:hideMark/>
          </w:tcPr>
          <w:p w:rsidR="00D53E91" w:rsidRPr="00351586" w:rsidRDefault="00D53E91" w:rsidP="00D53E91">
            <w:pPr>
              <w:rPr>
                <w:rFonts w:cs="Arial"/>
                <w:sz w:val="20"/>
                <w:lang w:eastAsia="en-GB"/>
              </w:rPr>
            </w:pPr>
          </w:p>
        </w:tc>
        <w:tc>
          <w:tcPr>
            <w:tcW w:w="960" w:type="dxa"/>
            <w:tcBorders>
              <w:top w:val="nil"/>
              <w:left w:val="nil"/>
              <w:bottom w:val="nil"/>
              <w:right w:val="nil"/>
            </w:tcBorders>
            <w:shd w:val="clear" w:color="auto" w:fill="auto"/>
            <w:noWrap/>
            <w:vAlign w:val="bottom"/>
            <w:hideMark/>
          </w:tcPr>
          <w:p w:rsidR="00D53E91" w:rsidRPr="00351586" w:rsidRDefault="00D53E91" w:rsidP="00D53E91">
            <w:pPr>
              <w:rPr>
                <w:rFonts w:cs="Arial"/>
                <w:sz w:val="20"/>
                <w:lang w:eastAsia="en-GB"/>
              </w:rPr>
            </w:pPr>
          </w:p>
        </w:tc>
      </w:tr>
    </w:tbl>
    <w:p w:rsidR="005A64EA" w:rsidRDefault="005A64EA" w:rsidP="00621438">
      <w:pPr>
        <w:tabs>
          <w:tab w:val="left" w:pos="1380"/>
        </w:tabs>
        <w:rPr>
          <w:rFonts w:cs="Arial"/>
          <w:b/>
          <w:szCs w:val="24"/>
        </w:rPr>
      </w:pPr>
    </w:p>
    <w:p w:rsidR="00621438" w:rsidRDefault="00621438" w:rsidP="00621438">
      <w:pPr>
        <w:tabs>
          <w:tab w:val="left" w:pos="1380"/>
        </w:tabs>
        <w:rPr>
          <w:rFonts w:cs="Arial"/>
          <w:b/>
          <w:szCs w:val="24"/>
        </w:rPr>
      </w:pPr>
      <w:r w:rsidRPr="00621438">
        <w:rPr>
          <w:rFonts w:cs="Arial"/>
          <w:b/>
          <w:szCs w:val="24"/>
        </w:rPr>
        <w:t>Medical Device Incidents by Division</w:t>
      </w:r>
      <w:r>
        <w:rPr>
          <w:rFonts w:cs="Arial"/>
          <w:b/>
          <w:szCs w:val="24"/>
        </w:rPr>
        <w:t xml:space="preserve"> </w:t>
      </w:r>
    </w:p>
    <w:p w:rsidR="00D53E91" w:rsidRDefault="00D53E91" w:rsidP="00621438">
      <w:pPr>
        <w:tabs>
          <w:tab w:val="left" w:pos="1380"/>
        </w:tabs>
        <w:rPr>
          <w:rFonts w:cs="Arial"/>
          <w:b/>
          <w:szCs w:val="24"/>
        </w:rPr>
      </w:pPr>
    </w:p>
    <w:p w:rsidR="004E398B" w:rsidRDefault="004E398B" w:rsidP="00D53E91">
      <w:pPr>
        <w:tabs>
          <w:tab w:val="left" w:pos="1380"/>
        </w:tabs>
        <w:ind w:left="284"/>
      </w:pPr>
    </w:p>
    <w:p w:rsidR="00D53E91" w:rsidRDefault="00D53E91" w:rsidP="00621438">
      <w:pPr>
        <w:tabs>
          <w:tab w:val="left" w:pos="7590"/>
        </w:tabs>
        <w:rPr>
          <w:b/>
          <w:sz w:val="28"/>
          <w:szCs w:val="28"/>
        </w:rPr>
      </w:pPr>
    </w:p>
    <w:p w:rsidR="00D53E91" w:rsidRDefault="00D53E91" w:rsidP="00621438">
      <w:pPr>
        <w:tabs>
          <w:tab w:val="left" w:pos="7590"/>
        </w:tabs>
        <w:rPr>
          <w:b/>
          <w:sz w:val="28"/>
          <w:szCs w:val="28"/>
        </w:rPr>
      </w:pPr>
    </w:p>
    <w:p w:rsidR="00D53E91" w:rsidRDefault="00D53E91" w:rsidP="00621438">
      <w:pPr>
        <w:tabs>
          <w:tab w:val="left" w:pos="7590"/>
        </w:tabs>
        <w:rPr>
          <w:b/>
          <w:sz w:val="28"/>
          <w:szCs w:val="28"/>
        </w:rPr>
      </w:pPr>
    </w:p>
    <w:p w:rsidR="00D53E91" w:rsidRDefault="00D53E91" w:rsidP="00621438">
      <w:pPr>
        <w:tabs>
          <w:tab w:val="left" w:pos="7590"/>
        </w:tabs>
        <w:rPr>
          <w:b/>
          <w:sz w:val="28"/>
          <w:szCs w:val="28"/>
        </w:rPr>
      </w:pPr>
    </w:p>
    <w:p w:rsidR="00D53E91" w:rsidRDefault="00D53E91" w:rsidP="00621438">
      <w:pPr>
        <w:tabs>
          <w:tab w:val="left" w:pos="7590"/>
        </w:tabs>
        <w:rPr>
          <w:b/>
          <w:sz w:val="28"/>
          <w:szCs w:val="28"/>
        </w:rPr>
      </w:pPr>
    </w:p>
    <w:p w:rsidR="00D53E91" w:rsidRDefault="00D53E91" w:rsidP="00621438">
      <w:pPr>
        <w:tabs>
          <w:tab w:val="left" w:pos="7590"/>
        </w:tabs>
        <w:rPr>
          <w:b/>
          <w:sz w:val="28"/>
          <w:szCs w:val="28"/>
        </w:rPr>
      </w:pPr>
    </w:p>
    <w:p w:rsidR="00D53E91" w:rsidRDefault="00D53E91" w:rsidP="00621438">
      <w:pPr>
        <w:tabs>
          <w:tab w:val="left" w:pos="7590"/>
        </w:tabs>
        <w:rPr>
          <w:b/>
          <w:sz w:val="28"/>
          <w:szCs w:val="28"/>
        </w:rPr>
      </w:pPr>
    </w:p>
    <w:p w:rsidR="00621438" w:rsidRPr="00E3321D" w:rsidRDefault="00621438" w:rsidP="00D53E91">
      <w:pPr>
        <w:tabs>
          <w:tab w:val="left" w:pos="7590"/>
        </w:tabs>
        <w:ind w:left="142" w:hanging="142"/>
        <w:rPr>
          <w:b/>
          <w:sz w:val="28"/>
          <w:szCs w:val="28"/>
        </w:rPr>
      </w:pPr>
      <w:r>
        <w:rPr>
          <w:noProof/>
          <w:lang w:eastAsia="en-GB"/>
        </w:rPr>
        <w:drawing>
          <wp:anchor distT="0" distB="0" distL="114300" distR="114300" simplePos="0" relativeHeight="251663360" behindDoc="0" locked="0" layoutInCell="1" allowOverlap="1">
            <wp:simplePos x="0" y="0"/>
            <wp:positionH relativeFrom="column">
              <wp:posOffset>11430</wp:posOffset>
            </wp:positionH>
            <wp:positionV relativeFrom="paragraph">
              <wp:posOffset>6985</wp:posOffset>
            </wp:positionV>
            <wp:extent cx="6532245" cy="2619375"/>
            <wp:effectExtent l="19050" t="0" r="20955" b="0"/>
            <wp:wrapSquare wrapText="bothSides"/>
            <wp:docPr id="155"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1D20E7" w:rsidRDefault="005F24C3" w:rsidP="00D53E91">
      <w:pPr>
        <w:jc w:val="both"/>
        <w:rPr>
          <w:rFonts w:cs="Arial"/>
          <w:sz w:val="20"/>
        </w:rPr>
      </w:pPr>
      <w:r>
        <w:rPr>
          <w:rFonts w:cs="Arial"/>
          <w:sz w:val="20"/>
        </w:rPr>
        <w:t xml:space="preserve">Comparing against </w:t>
      </w:r>
      <w:r w:rsidR="00710F2D">
        <w:rPr>
          <w:rFonts w:cs="Arial"/>
          <w:sz w:val="20"/>
        </w:rPr>
        <w:t>the previous 3 years of data</w:t>
      </w:r>
      <w:r w:rsidR="00624942">
        <w:rPr>
          <w:rFonts w:cs="Arial"/>
          <w:sz w:val="20"/>
        </w:rPr>
        <w:t>, incident</w:t>
      </w:r>
      <w:r w:rsidR="00710F2D">
        <w:rPr>
          <w:rFonts w:cs="Arial"/>
          <w:sz w:val="20"/>
        </w:rPr>
        <w:t xml:space="preserve"> reports remain at a similar level. Pump user error has decreased this year from 17%</w:t>
      </w:r>
      <w:r w:rsidR="004E398B">
        <w:rPr>
          <w:rFonts w:cs="Arial"/>
          <w:sz w:val="20"/>
        </w:rPr>
        <w:t xml:space="preserve"> in 2012</w:t>
      </w:r>
      <w:r w:rsidR="00710F2D">
        <w:rPr>
          <w:rFonts w:cs="Arial"/>
          <w:sz w:val="20"/>
        </w:rPr>
        <w:t xml:space="preserve"> to 12% of reported incidents</w:t>
      </w:r>
      <w:r w:rsidR="004E398B">
        <w:rPr>
          <w:rFonts w:cs="Arial"/>
          <w:sz w:val="20"/>
        </w:rPr>
        <w:t xml:space="preserve"> in 2013</w:t>
      </w:r>
      <w:r w:rsidR="00710F2D">
        <w:rPr>
          <w:rFonts w:cs="Arial"/>
          <w:sz w:val="20"/>
        </w:rPr>
        <w:t xml:space="preserve">, which accounts for only 15 incidents, all of which were classified as having </w:t>
      </w:r>
      <w:r w:rsidR="004E398B">
        <w:rPr>
          <w:rFonts w:cs="Arial"/>
          <w:sz w:val="20"/>
        </w:rPr>
        <w:t>caused no</w:t>
      </w:r>
      <w:r w:rsidR="00710F2D">
        <w:rPr>
          <w:rFonts w:cs="Arial"/>
          <w:sz w:val="20"/>
        </w:rPr>
        <w:t xml:space="preserve"> harm to </w:t>
      </w:r>
      <w:r w:rsidR="004E398B">
        <w:rPr>
          <w:rFonts w:cs="Arial"/>
          <w:sz w:val="20"/>
        </w:rPr>
        <w:t xml:space="preserve">patients </w:t>
      </w:r>
      <w:r w:rsidR="004E398B" w:rsidRPr="00750B2B">
        <w:rPr>
          <w:rFonts w:cs="Arial"/>
          <w:sz w:val="20"/>
        </w:rPr>
        <w:t>All</w:t>
      </w:r>
      <w:r w:rsidR="0015589A" w:rsidRPr="00750B2B">
        <w:rPr>
          <w:rFonts w:cs="Arial"/>
          <w:sz w:val="20"/>
        </w:rPr>
        <w:t xml:space="preserve"> infusion pump incidents </w:t>
      </w:r>
      <w:r w:rsidR="00710F2D">
        <w:rPr>
          <w:rFonts w:cs="Arial"/>
          <w:sz w:val="20"/>
        </w:rPr>
        <w:t>continue to be</w:t>
      </w:r>
      <w:r w:rsidR="0015589A" w:rsidRPr="00750B2B">
        <w:rPr>
          <w:rFonts w:cs="Arial"/>
          <w:sz w:val="20"/>
        </w:rPr>
        <w:t xml:space="preserve"> followed up with verification of user competency and targeted training by the Faculty of Education, Medical Device Trainers.  </w:t>
      </w:r>
      <w:r w:rsidR="00466046" w:rsidRPr="00750B2B">
        <w:rPr>
          <w:rFonts w:cs="Arial"/>
          <w:sz w:val="20"/>
        </w:rPr>
        <w:t xml:space="preserve">In review of </w:t>
      </w:r>
      <w:r w:rsidR="00710F2D">
        <w:rPr>
          <w:rFonts w:cs="Arial"/>
          <w:sz w:val="20"/>
        </w:rPr>
        <w:t xml:space="preserve">2010, </w:t>
      </w:r>
      <w:r w:rsidR="00466046" w:rsidRPr="00750B2B">
        <w:rPr>
          <w:rFonts w:cs="Arial"/>
          <w:sz w:val="20"/>
        </w:rPr>
        <w:t>2011 and 201</w:t>
      </w:r>
      <w:r w:rsidR="00710F2D">
        <w:rPr>
          <w:rFonts w:cs="Arial"/>
          <w:sz w:val="20"/>
        </w:rPr>
        <w:t>2</w:t>
      </w:r>
      <w:r w:rsidR="00466046" w:rsidRPr="00750B2B">
        <w:rPr>
          <w:rFonts w:cs="Arial"/>
          <w:sz w:val="20"/>
        </w:rPr>
        <w:t xml:space="preserve"> the number of incidents of pump user error is </w:t>
      </w:r>
      <w:r w:rsidR="00710F2D">
        <w:rPr>
          <w:rFonts w:cs="Arial"/>
          <w:sz w:val="20"/>
        </w:rPr>
        <w:t>decreasing</w:t>
      </w:r>
      <w:r w:rsidR="00466046" w:rsidRPr="00750B2B">
        <w:rPr>
          <w:rFonts w:cs="Arial"/>
          <w:sz w:val="20"/>
        </w:rPr>
        <w:t xml:space="preserve"> (</w:t>
      </w:r>
      <w:r w:rsidR="00710F2D">
        <w:rPr>
          <w:rFonts w:cs="Arial"/>
          <w:sz w:val="20"/>
        </w:rPr>
        <w:t xml:space="preserve">19, </w:t>
      </w:r>
      <w:r w:rsidR="00466046" w:rsidRPr="00750B2B">
        <w:rPr>
          <w:rFonts w:cs="Arial"/>
          <w:sz w:val="20"/>
        </w:rPr>
        <w:t>18 &amp; 1</w:t>
      </w:r>
      <w:r w:rsidR="00710F2D">
        <w:rPr>
          <w:rFonts w:cs="Arial"/>
          <w:sz w:val="20"/>
        </w:rPr>
        <w:t>7</w:t>
      </w:r>
      <w:r w:rsidR="00466046" w:rsidRPr="00750B2B">
        <w:rPr>
          <w:rFonts w:cs="Arial"/>
          <w:sz w:val="20"/>
        </w:rPr>
        <w:t xml:space="preserve"> respectively), which is notable given the large increase in infusions administered by pump</w:t>
      </w:r>
      <w:r w:rsidR="003D4B6C" w:rsidRPr="00750B2B">
        <w:rPr>
          <w:rFonts w:cs="Arial"/>
          <w:sz w:val="20"/>
        </w:rPr>
        <w:t>s</w:t>
      </w:r>
      <w:r w:rsidR="00466046" w:rsidRPr="00750B2B">
        <w:rPr>
          <w:rFonts w:cs="Arial"/>
          <w:sz w:val="20"/>
        </w:rPr>
        <w:t xml:space="preserve"> over the past </w:t>
      </w:r>
      <w:r w:rsidR="004E398B">
        <w:rPr>
          <w:rFonts w:cs="Arial"/>
          <w:sz w:val="20"/>
        </w:rPr>
        <w:t>4</w:t>
      </w:r>
      <w:r w:rsidR="00466046" w:rsidRPr="00750B2B">
        <w:rPr>
          <w:rFonts w:cs="Arial"/>
          <w:sz w:val="20"/>
        </w:rPr>
        <w:t xml:space="preserve"> years.</w:t>
      </w:r>
      <w:r w:rsidR="003D4B6C" w:rsidRPr="00750B2B">
        <w:rPr>
          <w:rFonts w:cs="Arial"/>
          <w:sz w:val="20"/>
        </w:rPr>
        <w:t xml:space="preserve"> </w:t>
      </w:r>
      <w:r w:rsidR="00DA58BF" w:rsidRPr="00750B2B">
        <w:rPr>
          <w:rFonts w:cs="Arial"/>
          <w:sz w:val="20"/>
        </w:rPr>
        <w:t xml:space="preserve">It is hoped that these will reduce </w:t>
      </w:r>
      <w:r w:rsidR="00B5020D">
        <w:rPr>
          <w:rFonts w:cs="Arial"/>
          <w:sz w:val="20"/>
        </w:rPr>
        <w:t xml:space="preserve">further </w:t>
      </w:r>
      <w:r w:rsidR="00DA58BF" w:rsidRPr="00750B2B">
        <w:rPr>
          <w:rFonts w:cs="Arial"/>
          <w:sz w:val="20"/>
        </w:rPr>
        <w:t>next year as a result of the Trust’s introduction of DER software</w:t>
      </w:r>
      <w:r w:rsidR="001D20E7" w:rsidRPr="00750B2B">
        <w:rPr>
          <w:rFonts w:cs="Arial"/>
          <w:sz w:val="20"/>
        </w:rPr>
        <w:t>, Guardrail.</w:t>
      </w:r>
    </w:p>
    <w:p w:rsidR="00624942" w:rsidRDefault="00624942" w:rsidP="0015589A">
      <w:pPr>
        <w:rPr>
          <w:rFonts w:cs="Arial"/>
          <w:sz w:val="20"/>
        </w:rPr>
      </w:pPr>
    </w:p>
    <w:p w:rsidR="00B5020D" w:rsidRDefault="00D2711A" w:rsidP="00D2711A">
      <w:pPr>
        <w:rPr>
          <w:rFonts w:cs="Arial"/>
          <w:b/>
          <w:sz w:val="20"/>
        </w:rPr>
      </w:pPr>
      <w:r w:rsidRPr="00D2711A">
        <w:rPr>
          <w:rFonts w:cs="Arial"/>
          <w:b/>
          <w:sz w:val="20"/>
        </w:rPr>
        <w:lastRenderedPageBreak/>
        <w:t>__</w:t>
      </w:r>
      <w:r w:rsidR="00B5020D" w:rsidRPr="00B5020D">
        <w:rPr>
          <w:rFonts w:cs="Arial"/>
          <w:b/>
          <w:noProof/>
          <w:sz w:val="20"/>
          <w:lang w:eastAsia="en-GB"/>
        </w:rPr>
        <w:drawing>
          <wp:inline distT="0" distB="0" distL="0" distR="0">
            <wp:extent cx="5981700" cy="1924050"/>
            <wp:effectExtent l="19050" t="0" r="1905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3E91" w:rsidRDefault="00D53E91" w:rsidP="00D2711A">
      <w:pPr>
        <w:rPr>
          <w:rFonts w:cs="Arial"/>
          <w:b/>
          <w:sz w:val="20"/>
        </w:rPr>
      </w:pPr>
    </w:p>
    <w:p w:rsidR="00D53E91" w:rsidRPr="00D2711A" w:rsidRDefault="00D53E91" w:rsidP="00D2711A">
      <w:pPr>
        <w:rPr>
          <w:rFonts w:cs="Arial"/>
          <w:b/>
          <w:sz w:val="20"/>
        </w:rPr>
      </w:pPr>
    </w:p>
    <w:tbl>
      <w:tblPr>
        <w:tblW w:w="4846" w:type="pct"/>
        <w:tblInd w:w="108" w:type="dxa"/>
        <w:tblLayout w:type="fixed"/>
        <w:tblLook w:val="04A0"/>
      </w:tblPr>
      <w:tblGrid>
        <w:gridCol w:w="709"/>
        <w:gridCol w:w="804"/>
        <w:gridCol w:w="1320"/>
        <w:gridCol w:w="2420"/>
        <w:gridCol w:w="2711"/>
        <w:gridCol w:w="1587"/>
      </w:tblGrid>
      <w:tr w:rsidR="00624942" w:rsidRPr="00B5020D" w:rsidTr="00D53E91">
        <w:trPr>
          <w:trHeight w:val="522"/>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b/>
                <w:bCs/>
                <w:color w:val="000000"/>
                <w:sz w:val="22"/>
                <w:szCs w:val="22"/>
                <w:lang w:eastAsia="en-GB"/>
              </w:rPr>
            </w:pPr>
            <w:r w:rsidRPr="00B5020D">
              <w:rPr>
                <w:rFonts w:ascii="Calibri" w:hAnsi="Calibri"/>
                <w:b/>
                <w:bCs/>
                <w:color w:val="000000"/>
                <w:sz w:val="22"/>
                <w:szCs w:val="22"/>
                <w:lang w:eastAsia="en-GB"/>
              </w:rPr>
              <w:t> </w:t>
            </w:r>
            <w:r w:rsidR="00624942">
              <w:rPr>
                <w:rFonts w:ascii="Calibri" w:hAnsi="Calibri"/>
                <w:b/>
                <w:bCs/>
                <w:color w:val="000000"/>
                <w:sz w:val="22"/>
                <w:szCs w:val="22"/>
                <w:lang w:eastAsia="en-GB"/>
              </w:rPr>
              <w:t>Year</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b/>
                <w:bCs/>
                <w:color w:val="000000"/>
                <w:sz w:val="22"/>
                <w:szCs w:val="22"/>
                <w:lang w:eastAsia="en-GB"/>
              </w:rPr>
            </w:pPr>
            <w:r w:rsidRPr="00B5020D">
              <w:rPr>
                <w:rFonts w:ascii="Calibri" w:hAnsi="Calibri"/>
                <w:b/>
                <w:bCs/>
                <w:color w:val="000000"/>
                <w:sz w:val="22"/>
                <w:szCs w:val="22"/>
                <w:lang w:eastAsia="en-GB"/>
              </w:rPr>
              <w:t>Safety Alerts</w:t>
            </w:r>
          </w:p>
        </w:tc>
        <w:tc>
          <w:tcPr>
            <w:tcW w:w="691" w:type="pct"/>
            <w:tcBorders>
              <w:top w:val="single" w:sz="4" w:space="0" w:color="auto"/>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b/>
                <w:bCs/>
                <w:color w:val="000000"/>
                <w:sz w:val="22"/>
                <w:szCs w:val="22"/>
                <w:lang w:eastAsia="en-GB"/>
              </w:rPr>
            </w:pPr>
            <w:r w:rsidRPr="00B5020D">
              <w:rPr>
                <w:rFonts w:ascii="Calibri" w:hAnsi="Calibri"/>
                <w:b/>
                <w:bCs/>
                <w:color w:val="000000"/>
                <w:sz w:val="22"/>
                <w:szCs w:val="22"/>
                <w:lang w:eastAsia="en-GB"/>
              </w:rPr>
              <w:t>Equipment Unavailable</w:t>
            </w:r>
          </w:p>
        </w:tc>
        <w:tc>
          <w:tcPr>
            <w:tcW w:w="1267" w:type="pct"/>
            <w:tcBorders>
              <w:top w:val="single" w:sz="4" w:space="0" w:color="auto"/>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b/>
                <w:bCs/>
                <w:color w:val="000000"/>
                <w:sz w:val="22"/>
                <w:szCs w:val="22"/>
                <w:lang w:eastAsia="en-GB"/>
              </w:rPr>
            </w:pPr>
            <w:r w:rsidRPr="00B5020D">
              <w:rPr>
                <w:rFonts w:ascii="Calibri" w:hAnsi="Calibri"/>
                <w:b/>
                <w:bCs/>
                <w:color w:val="000000"/>
                <w:sz w:val="22"/>
                <w:szCs w:val="22"/>
                <w:lang w:eastAsia="en-GB"/>
              </w:rPr>
              <w:t>Medical Device Incidents</w:t>
            </w:r>
          </w:p>
        </w:tc>
        <w:tc>
          <w:tcPr>
            <w:tcW w:w="1419" w:type="pct"/>
            <w:tcBorders>
              <w:top w:val="single" w:sz="4" w:space="0" w:color="auto"/>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b/>
                <w:bCs/>
                <w:color w:val="000000"/>
                <w:sz w:val="22"/>
                <w:szCs w:val="22"/>
                <w:lang w:eastAsia="en-GB"/>
              </w:rPr>
            </w:pPr>
            <w:r w:rsidRPr="00B5020D">
              <w:rPr>
                <w:rFonts w:ascii="Calibri" w:hAnsi="Calibri"/>
                <w:b/>
                <w:bCs/>
                <w:color w:val="000000"/>
                <w:sz w:val="22"/>
                <w:szCs w:val="22"/>
                <w:lang w:eastAsia="en-GB"/>
              </w:rPr>
              <w:t>Incident reported to MHRA</w:t>
            </w:r>
          </w:p>
        </w:tc>
        <w:tc>
          <w:tcPr>
            <w:tcW w:w="831" w:type="pct"/>
            <w:tcBorders>
              <w:top w:val="single" w:sz="4" w:space="0" w:color="auto"/>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b/>
                <w:bCs/>
                <w:color w:val="000000"/>
                <w:sz w:val="22"/>
                <w:szCs w:val="22"/>
                <w:lang w:eastAsia="en-GB"/>
              </w:rPr>
            </w:pPr>
            <w:r w:rsidRPr="00B5020D">
              <w:rPr>
                <w:rFonts w:ascii="Calibri" w:hAnsi="Calibri"/>
                <w:b/>
                <w:bCs/>
                <w:color w:val="000000"/>
                <w:sz w:val="22"/>
                <w:szCs w:val="22"/>
                <w:lang w:eastAsia="en-GB"/>
              </w:rPr>
              <w:t>Infusion Pump Incidents</w:t>
            </w:r>
          </w:p>
        </w:tc>
      </w:tr>
      <w:tr w:rsidR="00624942" w:rsidRPr="00B5020D" w:rsidTr="00D53E91">
        <w:trPr>
          <w:trHeight w:val="26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color w:val="000000"/>
                <w:sz w:val="22"/>
                <w:szCs w:val="22"/>
                <w:lang w:eastAsia="en-GB"/>
              </w:rPr>
            </w:pPr>
            <w:r w:rsidRPr="00B5020D">
              <w:rPr>
                <w:rFonts w:ascii="Calibri" w:hAnsi="Calibri"/>
                <w:color w:val="000000"/>
                <w:sz w:val="22"/>
                <w:szCs w:val="22"/>
                <w:lang w:eastAsia="en-GB"/>
              </w:rPr>
              <w:t>2012</w:t>
            </w:r>
          </w:p>
        </w:tc>
        <w:tc>
          <w:tcPr>
            <w:tcW w:w="421" w:type="pct"/>
            <w:tcBorders>
              <w:top w:val="nil"/>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color w:val="000000"/>
                <w:sz w:val="22"/>
                <w:szCs w:val="22"/>
                <w:lang w:eastAsia="en-GB"/>
              </w:rPr>
            </w:pPr>
            <w:r w:rsidRPr="00B5020D">
              <w:rPr>
                <w:rFonts w:ascii="Calibri" w:hAnsi="Calibri"/>
                <w:color w:val="000000"/>
                <w:sz w:val="22"/>
                <w:szCs w:val="22"/>
                <w:lang w:eastAsia="en-GB"/>
              </w:rPr>
              <w:t>88</w:t>
            </w:r>
          </w:p>
        </w:tc>
        <w:tc>
          <w:tcPr>
            <w:tcW w:w="691" w:type="pct"/>
            <w:tcBorders>
              <w:top w:val="nil"/>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color w:val="000000"/>
                <w:sz w:val="22"/>
                <w:szCs w:val="22"/>
                <w:lang w:eastAsia="en-GB"/>
              </w:rPr>
            </w:pPr>
            <w:r w:rsidRPr="00B5020D">
              <w:rPr>
                <w:rFonts w:ascii="Calibri" w:hAnsi="Calibri"/>
                <w:color w:val="000000"/>
                <w:sz w:val="22"/>
                <w:szCs w:val="22"/>
                <w:lang w:eastAsia="en-GB"/>
              </w:rPr>
              <w:t>58</w:t>
            </w:r>
          </w:p>
        </w:tc>
        <w:tc>
          <w:tcPr>
            <w:tcW w:w="1267" w:type="pct"/>
            <w:tcBorders>
              <w:top w:val="nil"/>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color w:val="000000"/>
                <w:sz w:val="22"/>
                <w:szCs w:val="22"/>
                <w:lang w:eastAsia="en-GB"/>
              </w:rPr>
            </w:pPr>
            <w:r w:rsidRPr="00B5020D">
              <w:rPr>
                <w:rFonts w:ascii="Calibri" w:hAnsi="Calibri"/>
                <w:color w:val="000000"/>
                <w:sz w:val="22"/>
                <w:szCs w:val="22"/>
                <w:lang w:eastAsia="en-GB"/>
              </w:rPr>
              <w:t>118</w:t>
            </w:r>
          </w:p>
        </w:tc>
        <w:tc>
          <w:tcPr>
            <w:tcW w:w="1419" w:type="pct"/>
            <w:tcBorders>
              <w:top w:val="nil"/>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color w:val="000000"/>
                <w:sz w:val="22"/>
                <w:szCs w:val="22"/>
                <w:lang w:eastAsia="en-GB"/>
              </w:rPr>
            </w:pPr>
            <w:r w:rsidRPr="00B5020D">
              <w:rPr>
                <w:rFonts w:ascii="Calibri" w:hAnsi="Calibri"/>
                <w:color w:val="000000"/>
                <w:sz w:val="22"/>
                <w:szCs w:val="22"/>
                <w:lang w:eastAsia="en-GB"/>
              </w:rPr>
              <w:t>27</w:t>
            </w:r>
          </w:p>
        </w:tc>
        <w:tc>
          <w:tcPr>
            <w:tcW w:w="831" w:type="pct"/>
            <w:tcBorders>
              <w:top w:val="nil"/>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color w:val="000000"/>
                <w:sz w:val="22"/>
                <w:szCs w:val="22"/>
                <w:lang w:eastAsia="en-GB"/>
              </w:rPr>
            </w:pPr>
            <w:r w:rsidRPr="00B5020D">
              <w:rPr>
                <w:rFonts w:ascii="Calibri" w:hAnsi="Calibri"/>
                <w:color w:val="000000"/>
                <w:sz w:val="22"/>
                <w:szCs w:val="22"/>
                <w:lang w:eastAsia="en-GB"/>
              </w:rPr>
              <w:t>20</w:t>
            </w:r>
          </w:p>
        </w:tc>
      </w:tr>
      <w:tr w:rsidR="00624942" w:rsidRPr="00B5020D" w:rsidTr="00D53E91">
        <w:trPr>
          <w:trHeight w:val="267"/>
        </w:trPr>
        <w:tc>
          <w:tcPr>
            <w:tcW w:w="371" w:type="pct"/>
            <w:tcBorders>
              <w:top w:val="nil"/>
              <w:left w:val="single" w:sz="4" w:space="0" w:color="auto"/>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color w:val="000000"/>
                <w:sz w:val="22"/>
                <w:szCs w:val="22"/>
                <w:lang w:eastAsia="en-GB"/>
              </w:rPr>
            </w:pPr>
            <w:r w:rsidRPr="00B5020D">
              <w:rPr>
                <w:rFonts w:ascii="Calibri" w:hAnsi="Calibri"/>
                <w:color w:val="000000"/>
                <w:sz w:val="22"/>
                <w:szCs w:val="22"/>
                <w:lang w:eastAsia="en-GB"/>
              </w:rPr>
              <w:t>2013</w:t>
            </w:r>
          </w:p>
        </w:tc>
        <w:tc>
          <w:tcPr>
            <w:tcW w:w="421" w:type="pct"/>
            <w:tcBorders>
              <w:top w:val="nil"/>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color w:val="000000"/>
                <w:sz w:val="22"/>
                <w:szCs w:val="22"/>
                <w:lang w:eastAsia="en-GB"/>
              </w:rPr>
            </w:pPr>
            <w:r w:rsidRPr="00B5020D">
              <w:rPr>
                <w:rFonts w:ascii="Calibri" w:hAnsi="Calibri"/>
                <w:color w:val="000000"/>
                <w:sz w:val="22"/>
                <w:szCs w:val="22"/>
                <w:lang w:eastAsia="en-GB"/>
              </w:rPr>
              <w:t>76</w:t>
            </w:r>
          </w:p>
        </w:tc>
        <w:tc>
          <w:tcPr>
            <w:tcW w:w="691" w:type="pct"/>
            <w:tcBorders>
              <w:top w:val="nil"/>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color w:val="000000"/>
                <w:sz w:val="22"/>
                <w:szCs w:val="22"/>
                <w:lang w:eastAsia="en-GB"/>
              </w:rPr>
            </w:pPr>
            <w:r w:rsidRPr="00B5020D">
              <w:rPr>
                <w:rFonts w:ascii="Calibri" w:hAnsi="Calibri"/>
                <w:color w:val="000000"/>
                <w:sz w:val="22"/>
                <w:szCs w:val="22"/>
                <w:lang w:eastAsia="en-GB"/>
              </w:rPr>
              <w:t>93</w:t>
            </w:r>
          </w:p>
        </w:tc>
        <w:tc>
          <w:tcPr>
            <w:tcW w:w="1267" w:type="pct"/>
            <w:tcBorders>
              <w:top w:val="nil"/>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color w:val="000000"/>
                <w:sz w:val="22"/>
                <w:szCs w:val="22"/>
                <w:lang w:eastAsia="en-GB"/>
              </w:rPr>
            </w:pPr>
            <w:r w:rsidRPr="00B5020D">
              <w:rPr>
                <w:rFonts w:ascii="Calibri" w:hAnsi="Calibri"/>
                <w:color w:val="000000"/>
                <w:sz w:val="22"/>
                <w:szCs w:val="22"/>
                <w:lang w:eastAsia="en-GB"/>
              </w:rPr>
              <w:t>128</w:t>
            </w:r>
          </w:p>
        </w:tc>
        <w:tc>
          <w:tcPr>
            <w:tcW w:w="1419" w:type="pct"/>
            <w:tcBorders>
              <w:top w:val="nil"/>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color w:val="000000"/>
                <w:sz w:val="22"/>
                <w:szCs w:val="22"/>
                <w:lang w:eastAsia="en-GB"/>
              </w:rPr>
            </w:pPr>
            <w:r w:rsidRPr="00B5020D">
              <w:rPr>
                <w:rFonts w:ascii="Calibri" w:hAnsi="Calibri"/>
                <w:color w:val="000000"/>
                <w:sz w:val="22"/>
                <w:szCs w:val="22"/>
                <w:lang w:eastAsia="en-GB"/>
              </w:rPr>
              <w:t>22</w:t>
            </w:r>
          </w:p>
        </w:tc>
        <w:tc>
          <w:tcPr>
            <w:tcW w:w="831" w:type="pct"/>
            <w:tcBorders>
              <w:top w:val="nil"/>
              <w:left w:val="nil"/>
              <w:bottom w:val="single" w:sz="4" w:space="0" w:color="auto"/>
              <w:right w:val="single" w:sz="4" w:space="0" w:color="auto"/>
            </w:tcBorders>
            <w:shd w:val="clear" w:color="auto" w:fill="auto"/>
            <w:noWrap/>
            <w:vAlign w:val="bottom"/>
            <w:hideMark/>
          </w:tcPr>
          <w:p w:rsidR="00B5020D" w:rsidRPr="00B5020D" w:rsidRDefault="00B5020D" w:rsidP="00B5020D">
            <w:pPr>
              <w:rPr>
                <w:rFonts w:ascii="Calibri" w:hAnsi="Calibri"/>
                <w:color w:val="000000"/>
                <w:sz w:val="22"/>
                <w:szCs w:val="22"/>
                <w:lang w:eastAsia="en-GB"/>
              </w:rPr>
            </w:pPr>
            <w:r w:rsidRPr="00B5020D">
              <w:rPr>
                <w:rFonts w:ascii="Calibri" w:hAnsi="Calibri"/>
                <w:color w:val="000000"/>
                <w:sz w:val="22"/>
                <w:szCs w:val="22"/>
                <w:lang w:eastAsia="en-GB"/>
              </w:rPr>
              <w:t>22</w:t>
            </w:r>
          </w:p>
        </w:tc>
      </w:tr>
    </w:tbl>
    <w:p w:rsidR="00D53E91" w:rsidRDefault="00D53E91" w:rsidP="00D2711A">
      <w:pPr>
        <w:rPr>
          <w:rFonts w:cs="Arial"/>
          <w:b/>
          <w:szCs w:val="24"/>
        </w:rPr>
      </w:pPr>
    </w:p>
    <w:p w:rsidR="00D53E91" w:rsidRDefault="00D53E91" w:rsidP="00D2711A">
      <w:pPr>
        <w:rPr>
          <w:rFonts w:cs="Arial"/>
          <w:b/>
          <w:szCs w:val="24"/>
        </w:rPr>
      </w:pPr>
    </w:p>
    <w:p w:rsidR="00D2711A" w:rsidRPr="00501C98" w:rsidRDefault="004E398B" w:rsidP="00D2711A">
      <w:pPr>
        <w:rPr>
          <w:rFonts w:cs="Arial"/>
          <w:b/>
          <w:szCs w:val="24"/>
        </w:rPr>
      </w:pPr>
      <w:r w:rsidRPr="00501C98">
        <w:rPr>
          <w:rFonts w:cs="Arial"/>
          <w:b/>
          <w:szCs w:val="24"/>
        </w:rPr>
        <w:t>Guardrail Data</w:t>
      </w:r>
    </w:p>
    <w:p w:rsidR="000D4B16" w:rsidRDefault="000D4B16" w:rsidP="0015589A">
      <w:pPr>
        <w:rPr>
          <w:rFonts w:cs="Arial"/>
          <w:sz w:val="20"/>
        </w:rPr>
      </w:pPr>
    </w:p>
    <w:p w:rsidR="000E5D0D" w:rsidRPr="000D4B16" w:rsidRDefault="00DA58BF" w:rsidP="00D53E91">
      <w:pPr>
        <w:jc w:val="both"/>
        <w:rPr>
          <w:rFonts w:cs="Arial"/>
        </w:rPr>
      </w:pPr>
      <w:r w:rsidRPr="000D4B16">
        <w:rPr>
          <w:rFonts w:cs="Arial"/>
          <w:sz w:val="20"/>
        </w:rPr>
        <w:t>A</w:t>
      </w:r>
      <w:r w:rsidR="003827A1" w:rsidRPr="000D4B16">
        <w:rPr>
          <w:rFonts w:cs="Arial"/>
          <w:sz w:val="20"/>
        </w:rPr>
        <w:t>nalysis</w:t>
      </w:r>
      <w:r w:rsidRPr="000D4B16">
        <w:rPr>
          <w:rFonts w:cs="Arial"/>
          <w:sz w:val="20"/>
        </w:rPr>
        <w:t xml:space="preserve"> of data gathered from </w:t>
      </w:r>
      <w:r w:rsidR="00D2711A" w:rsidRPr="000D4B16">
        <w:rPr>
          <w:rFonts w:cs="Arial"/>
          <w:sz w:val="20"/>
        </w:rPr>
        <w:t xml:space="preserve">Guardrail DER </w:t>
      </w:r>
      <w:r w:rsidRPr="000D4B16">
        <w:rPr>
          <w:rFonts w:cs="Arial"/>
          <w:sz w:val="20"/>
        </w:rPr>
        <w:t xml:space="preserve">software </w:t>
      </w:r>
      <w:r w:rsidR="00501C98">
        <w:rPr>
          <w:rFonts w:cs="Arial"/>
          <w:sz w:val="20"/>
        </w:rPr>
        <w:t xml:space="preserve">in Alaris GH syringe pumps </w:t>
      </w:r>
      <w:r w:rsidRPr="000D4B16">
        <w:rPr>
          <w:rFonts w:cs="Arial"/>
          <w:sz w:val="20"/>
        </w:rPr>
        <w:t xml:space="preserve">for </w:t>
      </w:r>
      <w:r w:rsidR="000D4B16">
        <w:rPr>
          <w:rFonts w:cs="Arial"/>
          <w:sz w:val="20"/>
        </w:rPr>
        <w:t>2013</w:t>
      </w:r>
      <w:r w:rsidR="00501C98">
        <w:rPr>
          <w:rFonts w:cs="Arial"/>
          <w:sz w:val="20"/>
        </w:rPr>
        <w:t>,</w:t>
      </w:r>
      <w:r w:rsidR="000D4B16">
        <w:rPr>
          <w:rFonts w:cs="Arial"/>
          <w:sz w:val="20"/>
        </w:rPr>
        <w:t xml:space="preserve"> on all 3 acute sites</w:t>
      </w:r>
      <w:r w:rsidR="00501C98">
        <w:rPr>
          <w:rFonts w:cs="Arial"/>
          <w:sz w:val="20"/>
        </w:rPr>
        <w:t>,</w:t>
      </w:r>
      <w:r w:rsidR="000D4B16">
        <w:rPr>
          <w:rFonts w:cs="Arial"/>
          <w:sz w:val="20"/>
        </w:rPr>
        <w:t xml:space="preserve"> continue</w:t>
      </w:r>
      <w:r w:rsidRPr="000D4B16">
        <w:rPr>
          <w:rFonts w:cs="Arial"/>
          <w:sz w:val="20"/>
        </w:rPr>
        <w:t xml:space="preserve">s </w:t>
      </w:r>
      <w:r w:rsidR="000D4B16">
        <w:rPr>
          <w:rFonts w:cs="Arial"/>
          <w:sz w:val="20"/>
        </w:rPr>
        <w:t>to</w:t>
      </w:r>
      <w:r w:rsidR="003827A1" w:rsidRPr="000D4B16">
        <w:rPr>
          <w:rFonts w:cs="Arial"/>
          <w:sz w:val="20"/>
        </w:rPr>
        <w:t xml:space="preserve"> highlight the major impact that this technology has had on patient safety</w:t>
      </w:r>
      <w:r w:rsidRPr="000D4B16">
        <w:rPr>
          <w:rFonts w:cs="Arial"/>
          <w:sz w:val="20"/>
        </w:rPr>
        <w:t>.</w:t>
      </w:r>
      <w:r w:rsidR="000D4B16">
        <w:rPr>
          <w:rFonts w:cs="Arial"/>
          <w:sz w:val="20"/>
        </w:rPr>
        <w:t xml:space="preserve"> The data collated is f</w:t>
      </w:r>
      <w:r w:rsidR="00501C98">
        <w:rPr>
          <w:rFonts w:cs="Arial"/>
          <w:sz w:val="20"/>
        </w:rPr>
        <w:t>rom</w:t>
      </w:r>
      <w:r w:rsidR="000D4B16">
        <w:rPr>
          <w:rFonts w:cs="Arial"/>
          <w:sz w:val="20"/>
        </w:rPr>
        <w:t xml:space="preserve"> 42,566</w:t>
      </w:r>
      <w:r w:rsidR="005A77D9" w:rsidRPr="000D4B16">
        <w:rPr>
          <w:rFonts w:cs="Arial"/>
          <w:sz w:val="20"/>
        </w:rPr>
        <w:t xml:space="preserve"> infusions administered</w:t>
      </w:r>
      <w:r w:rsidR="000D4B16">
        <w:rPr>
          <w:rFonts w:cs="Arial"/>
          <w:sz w:val="20"/>
        </w:rPr>
        <w:t xml:space="preserve"> to HEFT patients last year</w:t>
      </w:r>
      <w:r w:rsidR="001D20E7" w:rsidRPr="000D4B16">
        <w:rPr>
          <w:rFonts w:cs="Arial"/>
          <w:sz w:val="20"/>
        </w:rPr>
        <w:t>;</w:t>
      </w:r>
      <w:r w:rsidR="005A77D9" w:rsidRPr="000D4B16">
        <w:rPr>
          <w:rFonts w:cs="Arial"/>
          <w:sz w:val="20"/>
        </w:rPr>
        <w:t xml:space="preserve"> </w:t>
      </w:r>
      <w:r w:rsidR="008342BE">
        <w:rPr>
          <w:rFonts w:cs="Arial"/>
          <w:sz w:val="20"/>
        </w:rPr>
        <w:t>21</w:t>
      </w:r>
      <w:r w:rsidR="00884885">
        <w:rPr>
          <w:rFonts w:cs="Arial"/>
          <w:sz w:val="20"/>
        </w:rPr>
        <w:t>0</w:t>
      </w:r>
      <w:r w:rsidR="005A77D9" w:rsidRPr="000D4B16">
        <w:rPr>
          <w:rFonts w:cs="Arial"/>
          <w:sz w:val="20"/>
        </w:rPr>
        <w:t xml:space="preserve"> Hard </w:t>
      </w:r>
      <w:r w:rsidR="003827A1" w:rsidRPr="000D4B16">
        <w:rPr>
          <w:rFonts w:cs="Arial"/>
          <w:sz w:val="20"/>
        </w:rPr>
        <w:t>M</w:t>
      </w:r>
      <w:r w:rsidR="005A77D9" w:rsidRPr="000D4B16">
        <w:rPr>
          <w:rFonts w:cs="Arial"/>
          <w:sz w:val="20"/>
        </w:rPr>
        <w:t xml:space="preserve">aximum </w:t>
      </w:r>
      <w:r w:rsidR="003827A1" w:rsidRPr="000D4B16">
        <w:rPr>
          <w:rFonts w:cs="Arial"/>
          <w:sz w:val="20"/>
        </w:rPr>
        <w:t>L</w:t>
      </w:r>
      <w:r w:rsidR="005A77D9" w:rsidRPr="000D4B16">
        <w:rPr>
          <w:rFonts w:cs="Arial"/>
          <w:sz w:val="20"/>
        </w:rPr>
        <w:t xml:space="preserve">imit </w:t>
      </w:r>
      <w:r w:rsidR="003827A1" w:rsidRPr="000D4B16">
        <w:rPr>
          <w:rFonts w:cs="Arial"/>
          <w:sz w:val="20"/>
        </w:rPr>
        <w:t>B</w:t>
      </w:r>
      <w:r w:rsidR="005A77D9" w:rsidRPr="000D4B16">
        <w:rPr>
          <w:rFonts w:cs="Arial"/>
          <w:sz w:val="20"/>
        </w:rPr>
        <w:t>reaches</w:t>
      </w:r>
      <w:r w:rsidR="00B74091" w:rsidRPr="000D4B16">
        <w:rPr>
          <w:rFonts w:cs="Arial"/>
          <w:sz w:val="20"/>
        </w:rPr>
        <w:t xml:space="preserve"> </w:t>
      </w:r>
      <w:r w:rsidR="005A77D9" w:rsidRPr="000D4B16">
        <w:rPr>
          <w:rFonts w:cs="Arial"/>
          <w:sz w:val="20"/>
        </w:rPr>
        <w:t>occurred</w:t>
      </w:r>
      <w:r w:rsidR="001D20E7" w:rsidRPr="000D4B16">
        <w:rPr>
          <w:rFonts w:cs="Arial"/>
          <w:sz w:val="20"/>
        </w:rPr>
        <w:t xml:space="preserve">. </w:t>
      </w:r>
      <w:r w:rsidR="008342BE">
        <w:rPr>
          <w:rFonts w:cs="Arial"/>
          <w:sz w:val="20"/>
        </w:rPr>
        <w:t xml:space="preserve">Further analysis reveals that </w:t>
      </w:r>
      <w:r w:rsidR="000D4B16">
        <w:rPr>
          <w:rFonts w:cs="Arial"/>
          <w:sz w:val="20"/>
        </w:rPr>
        <w:t>70</w:t>
      </w:r>
      <w:r w:rsidR="001D20E7" w:rsidRPr="000D4B16">
        <w:rPr>
          <w:rFonts w:cs="Arial"/>
          <w:sz w:val="20"/>
        </w:rPr>
        <w:t xml:space="preserve"> of these</w:t>
      </w:r>
      <w:r w:rsidR="000D4B16">
        <w:rPr>
          <w:rFonts w:cs="Arial"/>
          <w:sz w:val="20"/>
        </w:rPr>
        <w:t xml:space="preserve"> are an indication of a major event being prevented</w:t>
      </w:r>
      <w:r w:rsidR="00D903B8">
        <w:rPr>
          <w:rFonts w:cs="Arial"/>
          <w:sz w:val="20"/>
        </w:rPr>
        <w:t xml:space="preserve"> as the user reset the dose rate or volume to be infused within acceptable limits after the alert was received</w:t>
      </w:r>
      <w:r w:rsidR="005A77D9" w:rsidRPr="000D4B16">
        <w:rPr>
          <w:rFonts w:cs="Arial"/>
          <w:sz w:val="20"/>
        </w:rPr>
        <w:t xml:space="preserve">. </w:t>
      </w:r>
      <w:r w:rsidR="00884885">
        <w:rPr>
          <w:rFonts w:cs="Arial"/>
          <w:sz w:val="20"/>
        </w:rPr>
        <w:t xml:space="preserve">Of the 210 hard limit breaches </w:t>
      </w:r>
      <w:r w:rsidR="005A77D9" w:rsidRPr="000D4B16">
        <w:rPr>
          <w:rFonts w:cs="Arial"/>
          <w:sz w:val="20"/>
        </w:rPr>
        <w:t>detected &amp; prevented</w:t>
      </w:r>
      <w:r w:rsidR="00CD3B1B" w:rsidRPr="000D4B16">
        <w:rPr>
          <w:rFonts w:cs="Arial"/>
          <w:sz w:val="20"/>
        </w:rPr>
        <w:t xml:space="preserve"> </w:t>
      </w:r>
      <w:r w:rsidR="00884885">
        <w:rPr>
          <w:rFonts w:cs="Arial"/>
          <w:sz w:val="20"/>
        </w:rPr>
        <w:t xml:space="preserve">40% involved Insulin Actrapid, 22% </w:t>
      </w:r>
      <w:r w:rsidR="00501C98">
        <w:rPr>
          <w:rFonts w:cs="Arial"/>
          <w:sz w:val="20"/>
        </w:rPr>
        <w:t>Furosemide and 12% Propofol</w:t>
      </w:r>
      <w:r w:rsidR="00CD3B1B" w:rsidRPr="000D4B16">
        <w:rPr>
          <w:rFonts w:cs="Arial"/>
          <w:sz w:val="20"/>
        </w:rPr>
        <w:t>.</w:t>
      </w:r>
      <w:r w:rsidR="00501C98">
        <w:rPr>
          <w:rFonts w:cs="Arial"/>
          <w:sz w:val="20"/>
        </w:rPr>
        <w:t xml:space="preserve"> Heparin, which featured high in this group last year accounts for only 3% this year.</w:t>
      </w:r>
    </w:p>
    <w:p w:rsidR="00501C98" w:rsidRDefault="00501C98" w:rsidP="00501C98">
      <w:pPr>
        <w:rPr>
          <w:rFonts w:cs="Arial"/>
          <w:b/>
          <w:szCs w:val="24"/>
        </w:rPr>
      </w:pPr>
    </w:p>
    <w:p w:rsidR="00501C98" w:rsidRPr="008217F1" w:rsidRDefault="00501C98" w:rsidP="00501C98">
      <w:pPr>
        <w:rPr>
          <w:rFonts w:cs="Arial"/>
          <w:b/>
          <w:szCs w:val="24"/>
        </w:rPr>
      </w:pPr>
      <w:r w:rsidRPr="008217F1">
        <w:rPr>
          <w:rFonts w:cs="Arial"/>
          <w:b/>
          <w:szCs w:val="24"/>
        </w:rPr>
        <w:t>Graphs showing the number of hard limit alerts generated by site</w:t>
      </w:r>
    </w:p>
    <w:p w:rsidR="00501C98" w:rsidRDefault="00501C98" w:rsidP="00501C98">
      <w:pPr>
        <w:rPr>
          <w:rFonts w:cs="Arial"/>
          <w:sz w:val="20"/>
        </w:rPr>
      </w:pPr>
    </w:p>
    <w:p w:rsidR="00501C98" w:rsidRPr="008217F1" w:rsidRDefault="00501C98" w:rsidP="00501C98">
      <w:pPr>
        <w:rPr>
          <w:rFonts w:cs="Arial"/>
          <w:sz w:val="20"/>
        </w:rPr>
      </w:pPr>
      <w:r w:rsidRPr="008217F1">
        <w:rPr>
          <w:rFonts w:cs="Arial"/>
          <w:sz w:val="20"/>
        </w:rPr>
        <w:t>Heartlands</w:t>
      </w:r>
    </w:p>
    <w:p w:rsidR="00501C98" w:rsidRDefault="00501C98" w:rsidP="00501C98">
      <w:r w:rsidRPr="006D1981">
        <w:rPr>
          <w:noProof/>
          <w:lang w:eastAsia="en-GB"/>
        </w:rPr>
        <w:drawing>
          <wp:inline distT="0" distB="0" distL="0" distR="0">
            <wp:extent cx="5546785" cy="2165230"/>
            <wp:effectExtent l="0" t="0" r="0" b="6985"/>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5547092" cy="2165350"/>
                    </a:xfrm>
                    <a:prstGeom prst="rect">
                      <a:avLst/>
                    </a:prstGeom>
                  </pic:spPr>
                </pic:pic>
              </a:graphicData>
            </a:graphic>
          </wp:inline>
        </w:drawing>
      </w:r>
    </w:p>
    <w:p w:rsidR="00501C98" w:rsidRPr="008217F1" w:rsidRDefault="00501C98" w:rsidP="00501C98">
      <w:pPr>
        <w:rPr>
          <w:rFonts w:cs="Arial"/>
          <w:sz w:val="20"/>
        </w:rPr>
      </w:pPr>
      <w:r w:rsidRPr="008217F1">
        <w:rPr>
          <w:rFonts w:cs="Arial"/>
          <w:sz w:val="20"/>
        </w:rPr>
        <w:t>Good Hope</w:t>
      </w:r>
    </w:p>
    <w:p w:rsidR="00501C98" w:rsidRDefault="00501C98" w:rsidP="00501C98">
      <w:r w:rsidRPr="006D1981">
        <w:rPr>
          <w:noProof/>
          <w:lang w:eastAsia="en-GB"/>
        </w:rPr>
        <w:lastRenderedPageBreak/>
        <w:drawing>
          <wp:inline distT="0" distB="0" distL="0" distR="0">
            <wp:extent cx="5573864" cy="1637969"/>
            <wp:effectExtent l="0" t="0" r="8255" b="635"/>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570139" cy="1636874"/>
                    </a:xfrm>
                    <a:prstGeom prst="rect">
                      <a:avLst/>
                    </a:prstGeom>
                  </pic:spPr>
                </pic:pic>
              </a:graphicData>
            </a:graphic>
          </wp:inline>
        </w:drawing>
      </w:r>
    </w:p>
    <w:p w:rsidR="00501C98" w:rsidRPr="008217F1" w:rsidRDefault="00501C98" w:rsidP="00501C98">
      <w:pPr>
        <w:rPr>
          <w:rFonts w:cs="Arial"/>
          <w:sz w:val="20"/>
        </w:rPr>
      </w:pPr>
      <w:r w:rsidRPr="008217F1">
        <w:rPr>
          <w:rFonts w:cs="Arial"/>
          <w:sz w:val="20"/>
        </w:rPr>
        <w:t>Solihull</w:t>
      </w:r>
    </w:p>
    <w:p w:rsidR="00501C98" w:rsidRDefault="00501C98" w:rsidP="00501C98">
      <w:r w:rsidRPr="006D1981">
        <w:rPr>
          <w:noProof/>
          <w:lang w:eastAsia="en-GB"/>
        </w:rPr>
        <w:drawing>
          <wp:inline distT="0" distB="0" distL="0" distR="0">
            <wp:extent cx="5597718" cy="1264258"/>
            <wp:effectExtent l="0" t="0" r="3175"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614972" cy="1268155"/>
                    </a:xfrm>
                    <a:prstGeom prst="rect">
                      <a:avLst/>
                    </a:prstGeom>
                  </pic:spPr>
                </pic:pic>
              </a:graphicData>
            </a:graphic>
          </wp:inline>
        </w:drawing>
      </w:r>
    </w:p>
    <w:p w:rsidR="00EB4178" w:rsidRPr="000D4B16" w:rsidRDefault="00EB4178" w:rsidP="0015589A">
      <w:pPr>
        <w:rPr>
          <w:rFonts w:cs="Arial"/>
        </w:rPr>
      </w:pPr>
    </w:p>
    <w:p w:rsidR="000B1B64" w:rsidRPr="000D4B16" w:rsidRDefault="000B1B64" w:rsidP="0015589A">
      <w:pPr>
        <w:rPr>
          <w:rFonts w:cs="Arial"/>
          <w:sz w:val="20"/>
        </w:rPr>
      </w:pPr>
    </w:p>
    <w:p w:rsidR="00DA58BF" w:rsidRPr="000D4B16" w:rsidRDefault="00CD3B1B" w:rsidP="0015589A">
      <w:pPr>
        <w:rPr>
          <w:rFonts w:cs="Arial"/>
          <w:sz w:val="20"/>
        </w:rPr>
      </w:pPr>
      <w:r w:rsidRPr="000D4B16">
        <w:rPr>
          <w:rFonts w:cs="Arial"/>
          <w:sz w:val="20"/>
        </w:rPr>
        <w:t xml:space="preserve">Data gathered indicates what errors were made with which drugs, it also indicates peak time periods for </w:t>
      </w:r>
      <w:r w:rsidR="003216B0">
        <w:rPr>
          <w:rFonts w:cs="Arial"/>
          <w:sz w:val="20"/>
        </w:rPr>
        <w:t xml:space="preserve">the </w:t>
      </w:r>
      <w:r w:rsidRPr="000D4B16">
        <w:rPr>
          <w:rFonts w:cs="Arial"/>
          <w:sz w:val="20"/>
        </w:rPr>
        <w:t>errors</w:t>
      </w:r>
      <w:r w:rsidR="003216B0">
        <w:rPr>
          <w:rFonts w:cs="Arial"/>
          <w:sz w:val="20"/>
        </w:rPr>
        <w:t>. T</w:t>
      </w:r>
      <w:r w:rsidR="008342BE">
        <w:rPr>
          <w:rFonts w:cs="Arial"/>
          <w:sz w:val="20"/>
        </w:rPr>
        <w:t xml:space="preserve">hese </w:t>
      </w:r>
      <w:r w:rsidR="003216B0">
        <w:rPr>
          <w:rFonts w:cs="Arial"/>
          <w:sz w:val="20"/>
        </w:rPr>
        <w:t xml:space="preserve">time profiles </w:t>
      </w:r>
      <w:r w:rsidR="008342BE">
        <w:rPr>
          <w:rFonts w:cs="Arial"/>
          <w:sz w:val="20"/>
        </w:rPr>
        <w:t>differ for each of the sites</w:t>
      </w:r>
      <w:r w:rsidR="003216B0">
        <w:rPr>
          <w:rFonts w:cs="Arial"/>
          <w:sz w:val="20"/>
        </w:rPr>
        <w:t>, but interestingly all sites show that errors are being made more frequently Mon-Fri 10am-8pm and not as may be expected overnight or at weekends</w:t>
      </w:r>
      <w:r w:rsidR="008342BE">
        <w:rPr>
          <w:rFonts w:cs="Arial"/>
          <w:sz w:val="20"/>
        </w:rPr>
        <w:t>. We can also</w:t>
      </w:r>
      <w:r w:rsidRPr="000D4B16">
        <w:rPr>
          <w:rFonts w:cs="Arial"/>
          <w:sz w:val="20"/>
        </w:rPr>
        <w:t xml:space="preserve"> identify adjustments which may need to be made to the limits set in the software for certain drugs as clinical practice changes</w:t>
      </w:r>
      <w:r w:rsidR="00D2711A" w:rsidRPr="000D4B16">
        <w:rPr>
          <w:rFonts w:cs="Arial"/>
          <w:sz w:val="20"/>
        </w:rPr>
        <w:t xml:space="preserve">, as </w:t>
      </w:r>
      <w:r w:rsidR="003216B0" w:rsidRPr="000D4B16">
        <w:rPr>
          <w:rFonts w:cs="Arial"/>
          <w:sz w:val="20"/>
        </w:rPr>
        <w:t>with Furosemide</w:t>
      </w:r>
      <w:r w:rsidR="00D2711A" w:rsidRPr="000D4B16">
        <w:rPr>
          <w:rFonts w:cs="Arial"/>
          <w:sz w:val="20"/>
        </w:rPr>
        <w:t xml:space="preserve"> incidents </w:t>
      </w:r>
      <w:r w:rsidR="003216B0">
        <w:rPr>
          <w:rFonts w:cs="Arial"/>
          <w:sz w:val="20"/>
        </w:rPr>
        <w:t xml:space="preserve">highlighted </w:t>
      </w:r>
      <w:r w:rsidR="008342BE">
        <w:rPr>
          <w:rFonts w:cs="Arial"/>
          <w:sz w:val="20"/>
        </w:rPr>
        <w:t>last year</w:t>
      </w:r>
      <w:r w:rsidR="003216B0">
        <w:rPr>
          <w:rFonts w:cs="Arial"/>
          <w:sz w:val="20"/>
        </w:rPr>
        <w:t xml:space="preserve">. </w:t>
      </w:r>
      <w:r w:rsidR="008342BE">
        <w:rPr>
          <w:rFonts w:cs="Arial"/>
          <w:sz w:val="20"/>
        </w:rPr>
        <w:t>Annual</w:t>
      </w:r>
      <w:r w:rsidR="003827A1" w:rsidRPr="000D4B16">
        <w:rPr>
          <w:rFonts w:cs="Arial"/>
          <w:sz w:val="20"/>
        </w:rPr>
        <w:t xml:space="preserve"> interrogation reports for this software are planned for 201</w:t>
      </w:r>
      <w:r w:rsidR="008342BE">
        <w:rPr>
          <w:rFonts w:cs="Arial"/>
          <w:sz w:val="20"/>
        </w:rPr>
        <w:t>4</w:t>
      </w:r>
      <w:r w:rsidR="003827A1" w:rsidRPr="000D4B16">
        <w:rPr>
          <w:rFonts w:cs="Arial"/>
          <w:sz w:val="20"/>
        </w:rPr>
        <w:t xml:space="preserve"> to monitor and track incidents in order to adjust profile templates and modify staff training in response to the data collected.</w:t>
      </w:r>
      <w:r w:rsidR="00D86F50" w:rsidRPr="000D4B16">
        <w:rPr>
          <w:rFonts w:cs="Arial"/>
          <w:sz w:val="20"/>
        </w:rPr>
        <w:t xml:space="preserve"> </w:t>
      </w:r>
      <w:r w:rsidR="00501C98">
        <w:rPr>
          <w:rFonts w:cs="Arial"/>
          <w:sz w:val="20"/>
        </w:rPr>
        <w:t>Full details of incident</w:t>
      </w:r>
      <w:r w:rsidR="003216B0">
        <w:rPr>
          <w:rFonts w:cs="Arial"/>
          <w:sz w:val="20"/>
        </w:rPr>
        <w:t xml:space="preserve"> analyses </w:t>
      </w:r>
      <w:r w:rsidR="00501C98">
        <w:rPr>
          <w:rFonts w:cs="Arial"/>
          <w:sz w:val="20"/>
        </w:rPr>
        <w:t xml:space="preserve">have been issued to </w:t>
      </w:r>
      <w:r w:rsidR="003216B0">
        <w:rPr>
          <w:rFonts w:cs="Arial"/>
          <w:sz w:val="20"/>
        </w:rPr>
        <w:t xml:space="preserve">Head Nurses on each site to allow lessons to be learned </w:t>
      </w:r>
      <w:r w:rsidR="00AA69ED">
        <w:rPr>
          <w:rFonts w:cs="Arial"/>
          <w:sz w:val="20"/>
        </w:rPr>
        <w:t>from</w:t>
      </w:r>
      <w:r w:rsidR="003216B0">
        <w:rPr>
          <w:rFonts w:cs="Arial"/>
          <w:sz w:val="20"/>
        </w:rPr>
        <w:t xml:space="preserve"> the data and will also be reviewed by Trust Pharmac</w:t>
      </w:r>
      <w:r w:rsidR="00E40C0B">
        <w:rPr>
          <w:rFonts w:cs="Arial"/>
          <w:sz w:val="20"/>
        </w:rPr>
        <w:t>y</w:t>
      </w:r>
      <w:r w:rsidR="003216B0">
        <w:rPr>
          <w:rFonts w:cs="Arial"/>
          <w:sz w:val="20"/>
        </w:rPr>
        <w:t xml:space="preserve"> Leads to adjust existing templates &amp; configurations to further improve clinical practice and the </w:t>
      </w:r>
      <w:r w:rsidR="00E40C0B">
        <w:rPr>
          <w:rFonts w:cs="Arial"/>
          <w:sz w:val="20"/>
        </w:rPr>
        <w:t>effectiveness</w:t>
      </w:r>
      <w:r w:rsidR="003216B0">
        <w:rPr>
          <w:rFonts w:cs="Arial"/>
          <w:sz w:val="20"/>
        </w:rPr>
        <w:t xml:space="preserve"> of the alerts. </w:t>
      </w:r>
      <w:r w:rsidR="00501C98">
        <w:rPr>
          <w:rFonts w:cs="Arial"/>
          <w:sz w:val="20"/>
        </w:rPr>
        <w:t xml:space="preserve"> </w:t>
      </w:r>
      <w:r w:rsidR="00B74091" w:rsidRPr="000D4B16">
        <w:rPr>
          <w:rFonts w:cs="Arial"/>
          <w:sz w:val="20"/>
        </w:rPr>
        <w:t xml:space="preserve"> </w:t>
      </w:r>
    </w:p>
    <w:p w:rsidR="00E26669" w:rsidRPr="000D4B16" w:rsidRDefault="00E26669" w:rsidP="0015589A">
      <w:pPr>
        <w:rPr>
          <w:rFonts w:cs="Arial"/>
          <w:sz w:val="20"/>
        </w:rPr>
      </w:pPr>
    </w:p>
    <w:p w:rsidR="0015589A" w:rsidRDefault="0015589A" w:rsidP="0015589A">
      <w:pPr>
        <w:rPr>
          <w:rFonts w:cs="Arial"/>
          <w:sz w:val="20"/>
        </w:rPr>
      </w:pPr>
    </w:p>
    <w:p w:rsidR="00102478" w:rsidRPr="00750B2B" w:rsidRDefault="00102478" w:rsidP="0015589A">
      <w:pPr>
        <w:rPr>
          <w:rFonts w:cs="Arial"/>
          <w:sz w:val="20"/>
        </w:rPr>
      </w:pPr>
    </w:p>
    <w:p w:rsidR="0015589A" w:rsidRDefault="0015589A" w:rsidP="0015589A">
      <w:pPr>
        <w:ind w:left="240"/>
        <w:rPr>
          <w:rFonts w:cs="Arial"/>
          <w:b/>
        </w:rPr>
      </w:pPr>
      <w:r>
        <w:rPr>
          <w:rFonts w:cs="Arial"/>
          <w:b/>
        </w:rPr>
        <w:t>11.</w:t>
      </w:r>
      <w:r>
        <w:rPr>
          <w:rFonts w:cs="Arial"/>
          <w:b/>
        </w:rPr>
        <w:tab/>
        <w:t xml:space="preserve">Medical Devices </w:t>
      </w:r>
      <w:r w:rsidR="00ED3D3C">
        <w:rPr>
          <w:rFonts w:cs="Arial"/>
          <w:b/>
        </w:rPr>
        <w:t xml:space="preserve">Committee </w:t>
      </w:r>
      <w:r w:rsidRPr="004D473F">
        <w:rPr>
          <w:rFonts w:cs="Arial"/>
          <w:b/>
        </w:rPr>
        <w:t xml:space="preserve">Objectives </w:t>
      </w:r>
    </w:p>
    <w:p w:rsidR="0015589A" w:rsidRPr="000B1B64" w:rsidRDefault="0015589A" w:rsidP="0015589A">
      <w:pPr>
        <w:ind w:left="240"/>
        <w:rPr>
          <w:rFonts w:cs="Arial"/>
          <w:b/>
          <w:sz w:val="20"/>
        </w:rPr>
      </w:pPr>
    </w:p>
    <w:p w:rsidR="0015589A" w:rsidRPr="000B1B64" w:rsidRDefault="0015589A" w:rsidP="0015589A">
      <w:pPr>
        <w:ind w:left="240"/>
        <w:rPr>
          <w:rFonts w:cs="Arial"/>
          <w:sz w:val="20"/>
        </w:rPr>
      </w:pPr>
      <w:r w:rsidRPr="000B1B64">
        <w:rPr>
          <w:rFonts w:cs="Arial"/>
          <w:sz w:val="20"/>
        </w:rPr>
        <w:t>Objectives set for 201</w:t>
      </w:r>
      <w:r w:rsidR="00D90808">
        <w:rPr>
          <w:rFonts w:cs="Arial"/>
          <w:sz w:val="20"/>
        </w:rPr>
        <w:t>3</w:t>
      </w:r>
      <w:r w:rsidRPr="000B1B64">
        <w:rPr>
          <w:rFonts w:cs="Arial"/>
          <w:sz w:val="20"/>
        </w:rPr>
        <w:t xml:space="preserve"> were achieved as planned</w:t>
      </w:r>
      <w:r w:rsidR="00D90808">
        <w:rPr>
          <w:rFonts w:cs="Arial"/>
          <w:sz w:val="20"/>
        </w:rPr>
        <w:t>.</w:t>
      </w:r>
      <w:r w:rsidRPr="000B1B64">
        <w:rPr>
          <w:rFonts w:cs="Arial"/>
          <w:sz w:val="20"/>
        </w:rPr>
        <w:t xml:space="preserve"> </w:t>
      </w:r>
      <w:r w:rsidR="00D90808">
        <w:rPr>
          <w:rFonts w:cs="Arial"/>
          <w:sz w:val="20"/>
        </w:rPr>
        <w:t>Including the resolution of identified risks placed on both Decontamination &amp; Medical Device Risk Registers during the year. No amber or red risks are identified for these areas currently.</w:t>
      </w:r>
    </w:p>
    <w:p w:rsidR="00D2711A" w:rsidRPr="000B1B64" w:rsidRDefault="00D2711A" w:rsidP="0015589A">
      <w:pPr>
        <w:ind w:left="240"/>
        <w:rPr>
          <w:rFonts w:cs="Arial"/>
          <w:b/>
          <w:sz w:val="20"/>
        </w:rPr>
      </w:pPr>
    </w:p>
    <w:p w:rsidR="00D90808" w:rsidRDefault="00D90808" w:rsidP="00D90808">
      <w:pPr>
        <w:rPr>
          <w:rFonts w:cs="Arial"/>
          <w:b/>
          <w:szCs w:val="24"/>
        </w:rPr>
      </w:pPr>
      <w:r w:rsidRPr="00D90808">
        <w:rPr>
          <w:rFonts w:cs="Arial"/>
          <w:b/>
          <w:szCs w:val="24"/>
        </w:rPr>
        <w:t>Objectives for 2014 are:-</w:t>
      </w:r>
    </w:p>
    <w:p w:rsidR="00D90808" w:rsidRDefault="00D90808" w:rsidP="00D90808">
      <w:pPr>
        <w:rPr>
          <w:rFonts w:cs="Arial"/>
          <w:b/>
          <w:szCs w:val="24"/>
        </w:rPr>
      </w:pPr>
    </w:p>
    <w:p w:rsidR="00D90808" w:rsidRDefault="00D90808" w:rsidP="00D90808">
      <w:pPr>
        <w:numPr>
          <w:ilvl w:val="0"/>
          <w:numId w:val="24"/>
        </w:numPr>
        <w:rPr>
          <w:rFonts w:cs="Arial"/>
          <w:sz w:val="20"/>
        </w:rPr>
      </w:pPr>
      <w:r w:rsidRPr="00750B2B">
        <w:rPr>
          <w:rFonts w:cs="Arial"/>
          <w:sz w:val="20"/>
        </w:rPr>
        <w:t>Achieve &amp; monitor compliance with Care Quality Commission (CQC) Standards in relation to Medical Devices, (section 20, Outcome 11, regulation 16 of Health &amp; Social Care Act 2008)</w:t>
      </w:r>
    </w:p>
    <w:p w:rsidR="00D90808" w:rsidRPr="00750B2B" w:rsidRDefault="00D90808" w:rsidP="00D90808">
      <w:pPr>
        <w:ind w:left="840"/>
        <w:rPr>
          <w:rFonts w:cs="Arial"/>
          <w:sz w:val="20"/>
        </w:rPr>
      </w:pPr>
    </w:p>
    <w:p w:rsidR="00D90808" w:rsidRDefault="00D90808" w:rsidP="00D90808">
      <w:pPr>
        <w:numPr>
          <w:ilvl w:val="0"/>
          <w:numId w:val="24"/>
        </w:numPr>
        <w:rPr>
          <w:rFonts w:cs="Arial"/>
          <w:sz w:val="20"/>
        </w:rPr>
      </w:pPr>
      <w:r w:rsidRPr="00750B2B">
        <w:rPr>
          <w:rFonts w:cs="Arial"/>
          <w:sz w:val="20"/>
        </w:rPr>
        <w:t xml:space="preserve">Maintain National Health Service Litigation Authority (NHSLA) standards 5.4 &amp; 5.5, level 2 achieved in Jan &amp; </w:t>
      </w:r>
      <w:r w:rsidR="00624942" w:rsidRPr="00750B2B">
        <w:rPr>
          <w:rFonts w:cs="Arial"/>
          <w:sz w:val="20"/>
        </w:rPr>
        <w:t>July 2012</w:t>
      </w:r>
      <w:r w:rsidR="00DA6C44">
        <w:rPr>
          <w:rFonts w:cs="Arial"/>
          <w:sz w:val="20"/>
        </w:rPr>
        <w:t xml:space="preserve">. </w:t>
      </w:r>
    </w:p>
    <w:p w:rsidR="00D90808" w:rsidRPr="00750B2B" w:rsidRDefault="00D90808" w:rsidP="00D90808">
      <w:pPr>
        <w:ind w:left="840"/>
        <w:rPr>
          <w:rFonts w:cs="Arial"/>
          <w:sz w:val="20"/>
        </w:rPr>
      </w:pPr>
    </w:p>
    <w:p w:rsidR="00D90808" w:rsidRDefault="00DA6C44" w:rsidP="00D90808">
      <w:pPr>
        <w:numPr>
          <w:ilvl w:val="0"/>
          <w:numId w:val="24"/>
        </w:numPr>
        <w:rPr>
          <w:rFonts w:cs="Arial"/>
          <w:sz w:val="20"/>
        </w:rPr>
      </w:pPr>
      <w:r>
        <w:rPr>
          <w:rFonts w:cs="Arial"/>
          <w:sz w:val="20"/>
        </w:rPr>
        <w:t xml:space="preserve">Open new </w:t>
      </w:r>
      <w:r w:rsidR="00D90808" w:rsidRPr="00750B2B">
        <w:rPr>
          <w:rFonts w:cs="Arial"/>
          <w:sz w:val="20"/>
        </w:rPr>
        <w:t xml:space="preserve">Medical </w:t>
      </w:r>
      <w:r w:rsidR="00D90808">
        <w:rPr>
          <w:rFonts w:cs="Arial"/>
          <w:sz w:val="20"/>
        </w:rPr>
        <w:t xml:space="preserve">Equipment Library </w:t>
      </w:r>
      <w:r>
        <w:rPr>
          <w:rFonts w:cs="Arial"/>
          <w:sz w:val="20"/>
        </w:rPr>
        <w:t>at BHH</w:t>
      </w:r>
    </w:p>
    <w:p w:rsidR="00D90808" w:rsidRPr="00D90808" w:rsidRDefault="00D90808" w:rsidP="00D90808">
      <w:pPr>
        <w:rPr>
          <w:rFonts w:cs="Arial"/>
          <w:b/>
          <w:szCs w:val="24"/>
        </w:rPr>
      </w:pPr>
    </w:p>
    <w:p w:rsidR="00DA6C44" w:rsidRDefault="00D90808" w:rsidP="00D90808">
      <w:pPr>
        <w:pStyle w:val="ListParagraph"/>
        <w:numPr>
          <w:ilvl w:val="0"/>
          <w:numId w:val="24"/>
        </w:numPr>
        <w:rPr>
          <w:rFonts w:ascii="Arial" w:hAnsi="Arial" w:cs="Arial"/>
          <w:b/>
          <w:szCs w:val="24"/>
        </w:rPr>
      </w:pPr>
      <w:r w:rsidRPr="00DA6C44">
        <w:rPr>
          <w:rFonts w:ascii="Arial" w:hAnsi="Arial" w:cs="Arial"/>
          <w:sz w:val="20"/>
        </w:rPr>
        <w:t>Complete upgrade programme for volumetric pumps at BHH &amp; SH to include Guardrail software</w:t>
      </w:r>
      <w:r w:rsidRPr="00DA6C44">
        <w:rPr>
          <w:rFonts w:ascii="Arial" w:hAnsi="Arial" w:cs="Arial"/>
          <w:b/>
          <w:szCs w:val="24"/>
        </w:rPr>
        <w:t xml:space="preserve"> </w:t>
      </w:r>
    </w:p>
    <w:p w:rsidR="00DA6C44" w:rsidRPr="00DA6C44" w:rsidRDefault="00DA6C44" w:rsidP="00DA6C44">
      <w:pPr>
        <w:pStyle w:val="ListParagraph"/>
        <w:rPr>
          <w:rFonts w:ascii="Arial" w:hAnsi="Arial" w:cs="Arial"/>
          <w:b/>
          <w:szCs w:val="24"/>
        </w:rPr>
      </w:pPr>
    </w:p>
    <w:p w:rsidR="001809DB" w:rsidRPr="004E398B" w:rsidRDefault="00DA6C44" w:rsidP="00CE17D3">
      <w:pPr>
        <w:pStyle w:val="ListParagraph"/>
        <w:numPr>
          <w:ilvl w:val="0"/>
          <w:numId w:val="24"/>
        </w:numPr>
        <w:jc w:val="both"/>
        <w:rPr>
          <w:b/>
          <w:szCs w:val="24"/>
        </w:rPr>
      </w:pPr>
      <w:r w:rsidRPr="004E398B">
        <w:rPr>
          <w:rFonts w:ascii="Arial" w:hAnsi="Arial" w:cs="Arial"/>
          <w:sz w:val="20"/>
          <w:szCs w:val="20"/>
        </w:rPr>
        <w:t>Introduce Needle Safe devices for hollow bore needles</w:t>
      </w:r>
    </w:p>
    <w:p w:rsidR="004E398B" w:rsidRDefault="004E398B" w:rsidP="004E398B">
      <w:pPr>
        <w:pStyle w:val="ListParagraph"/>
        <w:rPr>
          <w:b/>
          <w:szCs w:val="24"/>
        </w:rPr>
      </w:pPr>
    </w:p>
    <w:p w:rsidR="00D53E91" w:rsidRDefault="00D53E91" w:rsidP="004E398B">
      <w:pPr>
        <w:pStyle w:val="ListParagraph"/>
        <w:rPr>
          <w:b/>
          <w:szCs w:val="24"/>
        </w:rPr>
      </w:pPr>
    </w:p>
    <w:p w:rsidR="00D53E91" w:rsidRDefault="00D53E91" w:rsidP="004E398B">
      <w:pPr>
        <w:pStyle w:val="ListParagraph"/>
        <w:rPr>
          <w:b/>
          <w:szCs w:val="24"/>
        </w:rPr>
      </w:pPr>
    </w:p>
    <w:p w:rsidR="00D53E91" w:rsidRPr="004E398B" w:rsidRDefault="00D53E91" w:rsidP="004E398B">
      <w:pPr>
        <w:pStyle w:val="ListParagraph"/>
        <w:rPr>
          <w:b/>
          <w:szCs w:val="24"/>
        </w:rPr>
      </w:pPr>
    </w:p>
    <w:p w:rsidR="004E398B" w:rsidRPr="004E398B" w:rsidRDefault="004E398B" w:rsidP="004E398B">
      <w:pPr>
        <w:ind w:left="360"/>
        <w:jc w:val="both"/>
        <w:rPr>
          <w:b/>
          <w:szCs w:val="24"/>
        </w:rPr>
      </w:pPr>
    </w:p>
    <w:p w:rsidR="00CE17D3" w:rsidRPr="004F4BD0" w:rsidRDefault="00CE17D3" w:rsidP="00CE17D3">
      <w:pPr>
        <w:jc w:val="both"/>
        <w:rPr>
          <w:b/>
          <w:szCs w:val="24"/>
        </w:rPr>
      </w:pPr>
      <w:r w:rsidRPr="004F4BD0">
        <w:rPr>
          <w:b/>
          <w:szCs w:val="24"/>
        </w:rPr>
        <w:lastRenderedPageBreak/>
        <w:t>A</w:t>
      </w:r>
      <w:r>
        <w:rPr>
          <w:b/>
          <w:szCs w:val="24"/>
        </w:rPr>
        <w:t>ttachment</w:t>
      </w:r>
      <w:r w:rsidRPr="004F4BD0">
        <w:rPr>
          <w:b/>
          <w:szCs w:val="24"/>
        </w:rPr>
        <w:t xml:space="preserve"> </w:t>
      </w:r>
      <w:r w:rsidR="00884193">
        <w:rPr>
          <w:b/>
          <w:szCs w:val="24"/>
        </w:rPr>
        <w:t>1</w:t>
      </w:r>
    </w:p>
    <w:p w:rsidR="00CE17D3" w:rsidRDefault="00CE17D3" w:rsidP="00CE17D3">
      <w:pPr>
        <w:jc w:val="both"/>
        <w:rPr>
          <w:b/>
          <w:sz w:val="22"/>
          <w:szCs w:val="22"/>
        </w:rPr>
      </w:pPr>
    </w:p>
    <w:p w:rsidR="00CE17D3" w:rsidRPr="00750B2B" w:rsidRDefault="00471084" w:rsidP="00CE17D3">
      <w:pPr>
        <w:jc w:val="both"/>
        <w:rPr>
          <w:b/>
          <w:szCs w:val="24"/>
        </w:rPr>
      </w:pPr>
      <w:r>
        <w:rPr>
          <w:b/>
          <w:szCs w:val="24"/>
        </w:rPr>
        <w:t xml:space="preserve">Structure &amp; Reporting Chart - </w:t>
      </w:r>
      <w:r w:rsidR="00CE17D3" w:rsidRPr="00750B2B">
        <w:rPr>
          <w:b/>
          <w:szCs w:val="24"/>
        </w:rPr>
        <w:t xml:space="preserve">Medical Devices </w:t>
      </w:r>
      <w:r>
        <w:rPr>
          <w:b/>
          <w:szCs w:val="24"/>
        </w:rPr>
        <w:t>Committee</w:t>
      </w:r>
    </w:p>
    <w:p w:rsidR="00CE17D3" w:rsidRPr="003F0117" w:rsidRDefault="00CE17D3" w:rsidP="00CE17D3">
      <w:pPr>
        <w:jc w:val="both"/>
        <w:rPr>
          <w:b/>
          <w:sz w:val="20"/>
        </w:rPr>
      </w:pPr>
    </w:p>
    <w:p w:rsidR="00471084" w:rsidRPr="00A67A6F" w:rsidRDefault="00CE17D3" w:rsidP="00471084">
      <w:pPr>
        <w:jc w:val="both"/>
        <w:rPr>
          <w:color w:val="000000"/>
          <w:sz w:val="20"/>
        </w:rPr>
      </w:pPr>
      <w:r w:rsidRPr="00A67A6F">
        <w:rPr>
          <w:color w:val="000000"/>
          <w:sz w:val="20"/>
        </w:rPr>
        <w:t>The Medical Devices Committee (MDC) provide</w:t>
      </w:r>
      <w:r w:rsidR="00A67A6F">
        <w:rPr>
          <w:color w:val="000000"/>
          <w:sz w:val="20"/>
        </w:rPr>
        <w:t>s</w:t>
      </w:r>
      <w:r w:rsidRPr="00A67A6F">
        <w:rPr>
          <w:color w:val="000000"/>
          <w:sz w:val="20"/>
        </w:rPr>
        <w:t xml:space="preserve"> an assurance report twice a year to the Trust Safety Committee</w:t>
      </w:r>
      <w:r w:rsidR="00A67A6F">
        <w:rPr>
          <w:color w:val="000000"/>
          <w:sz w:val="20"/>
        </w:rPr>
        <w:t>,</w:t>
      </w:r>
      <w:r w:rsidRPr="00A67A6F">
        <w:rPr>
          <w:color w:val="000000"/>
          <w:sz w:val="20"/>
        </w:rPr>
        <w:t xml:space="preserve"> </w:t>
      </w:r>
      <w:r w:rsidR="00A67A6F">
        <w:rPr>
          <w:color w:val="000000"/>
          <w:sz w:val="20"/>
        </w:rPr>
        <w:t>including</w:t>
      </w:r>
      <w:r w:rsidR="00471084" w:rsidRPr="00A67A6F">
        <w:rPr>
          <w:color w:val="000000"/>
          <w:sz w:val="20"/>
        </w:rPr>
        <w:t xml:space="preserve"> an annual report of activity</w:t>
      </w:r>
      <w:r w:rsidR="00A67A6F">
        <w:rPr>
          <w:color w:val="000000"/>
          <w:sz w:val="20"/>
        </w:rPr>
        <w:t>.</w:t>
      </w:r>
    </w:p>
    <w:p w:rsidR="00CE17D3" w:rsidRPr="00A67A6F" w:rsidRDefault="00CE17D3" w:rsidP="00CE17D3">
      <w:pPr>
        <w:jc w:val="both"/>
        <w:rPr>
          <w:sz w:val="20"/>
        </w:rPr>
      </w:pPr>
      <w:r w:rsidRPr="00A67A6F">
        <w:rPr>
          <w:color w:val="000000"/>
          <w:sz w:val="20"/>
        </w:rPr>
        <w:t>MDC receive</w:t>
      </w:r>
      <w:r w:rsidR="00A67A6F">
        <w:rPr>
          <w:color w:val="000000"/>
          <w:sz w:val="20"/>
        </w:rPr>
        <w:t>s</w:t>
      </w:r>
      <w:r w:rsidRPr="00A67A6F">
        <w:rPr>
          <w:color w:val="000000"/>
          <w:sz w:val="20"/>
        </w:rPr>
        <w:t xml:space="preserve"> bi-monthly reports from the sub-committees</w:t>
      </w:r>
      <w:r w:rsidRPr="00A67A6F">
        <w:rPr>
          <w:sz w:val="20"/>
        </w:rPr>
        <w:t xml:space="preserve"> </w:t>
      </w:r>
    </w:p>
    <w:p w:rsidR="00CE17D3" w:rsidRDefault="00CE17D3" w:rsidP="00B71CEA">
      <w:pPr>
        <w:rPr>
          <w:i/>
        </w:rPr>
      </w:pPr>
    </w:p>
    <w:p w:rsidR="00CE17D3" w:rsidRDefault="0023003A" w:rsidP="00B71CEA">
      <w:pPr>
        <w:rPr>
          <w:i/>
        </w:rPr>
      </w:pPr>
      <w:r w:rsidRPr="0023003A">
        <w:rPr>
          <w:color w:val="000000"/>
        </w:rPr>
      </w:r>
      <w:r w:rsidRPr="0023003A">
        <w:rPr>
          <w:color w:val="000000"/>
        </w:rPr>
        <w:pict>
          <v:group id="_x0000_s1162" editas="canvas" style="width:504.15pt;height:270pt;mso-position-horizontal-relative:char;mso-position-vertical-relative:line" coordorigin="1845,2106" coordsize="7908,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left:1845;top:2106;width:7908;height:4320"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64" type="#_x0000_t176" style="position:absolute;left:4669;top:2106;width:2259;height:1008" fillcolor="#9cf">
              <v:textbox style="mso-next-textbox:#_x0000_s1164">
                <w:txbxContent>
                  <w:p w:rsidR="00624942" w:rsidRDefault="00624942" w:rsidP="00CE17D3">
                    <w:pPr>
                      <w:jc w:val="center"/>
                    </w:pPr>
                  </w:p>
                  <w:p w:rsidR="00624942" w:rsidRDefault="00624942" w:rsidP="00CE17D3">
                    <w:pPr>
                      <w:jc w:val="center"/>
                    </w:pPr>
                    <w:r>
                      <w:t>Trust Safety Committee</w:t>
                    </w:r>
                  </w:p>
                </w:txbxContent>
              </v:textbox>
            </v:shape>
            <v:shape id="_x0000_s1165" type="#_x0000_t176" style="position:absolute;left:2809;top:5065;width:1634;height:1080" fillcolor="#9cf">
              <v:textbox style="mso-next-textbox:#_x0000_s1165">
                <w:txbxContent>
                  <w:p w:rsidR="00624942" w:rsidRPr="001A1B7D" w:rsidRDefault="00624942" w:rsidP="00CE17D3">
                    <w:pPr>
                      <w:jc w:val="center"/>
                      <w:rPr>
                        <w:sz w:val="22"/>
                        <w:szCs w:val="22"/>
                      </w:rPr>
                    </w:pPr>
                    <w:r w:rsidRPr="001A1B7D">
                      <w:rPr>
                        <w:sz w:val="22"/>
                        <w:szCs w:val="22"/>
                      </w:rPr>
                      <w:t>Decontam</w:t>
                    </w:r>
                    <w:r>
                      <w:rPr>
                        <w:sz w:val="22"/>
                        <w:szCs w:val="22"/>
                      </w:rPr>
                      <w:t>i</w:t>
                    </w:r>
                    <w:r w:rsidRPr="001A1B7D">
                      <w:rPr>
                        <w:sz w:val="22"/>
                        <w:szCs w:val="22"/>
                      </w:rPr>
                      <w:t>nation Committee</w:t>
                    </w:r>
                  </w:p>
                </w:txbxContent>
              </v:textbox>
            </v:shape>
            <v:shape id="_x0000_s1166" type="#_x0000_t176" style="position:absolute;left:7303;top:5065;width:1506;height:1080" fillcolor="#9cf">
              <v:textbox style="mso-next-textbox:#_x0000_s1166">
                <w:txbxContent>
                  <w:p w:rsidR="00624942" w:rsidRPr="00F03904" w:rsidRDefault="00624942" w:rsidP="00CE17D3">
                    <w:pPr>
                      <w:jc w:val="center"/>
                      <w:rPr>
                        <w:sz w:val="22"/>
                        <w:szCs w:val="22"/>
                      </w:rPr>
                    </w:pPr>
                    <w:r w:rsidRPr="00F03904">
                      <w:rPr>
                        <w:sz w:val="22"/>
                        <w:szCs w:val="22"/>
                      </w:rPr>
                      <w:t xml:space="preserve">Point of Care </w:t>
                    </w:r>
                    <w:r>
                      <w:rPr>
                        <w:sz w:val="22"/>
                        <w:szCs w:val="22"/>
                      </w:rPr>
                      <w:t>Testing Committee</w:t>
                    </w:r>
                  </w:p>
                </w:txbxContent>
              </v:textbox>
            </v:shape>
            <v:shape id="_x0000_s1167" type="#_x0000_t176" style="position:absolute;left:5093;top:5065;width:1375;height:1080" fillcolor="#9cf">
              <v:textbox style="mso-next-textbox:#_x0000_s1167">
                <w:txbxContent>
                  <w:p w:rsidR="00624942" w:rsidRPr="00F03904" w:rsidRDefault="00624942" w:rsidP="00CE17D3">
                    <w:pPr>
                      <w:jc w:val="center"/>
                      <w:rPr>
                        <w:sz w:val="22"/>
                        <w:szCs w:val="22"/>
                      </w:rPr>
                    </w:pPr>
                    <w:r>
                      <w:rPr>
                        <w:sz w:val="22"/>
                        <w:szCs w:val="22"/>
                      </w:rPr>
                      <w:t>Medical Devices Training Group</w:t>
                    </w:r>
                  </w:p>
                </w:txbxContent>
              </v:textbox>
            </v:shape>
            <v:line id="_x0000_s1168" style="position:absolute" from="5798,3114" to="5799,4698" strokeweight="1.75pt"/>
            <v:shape id="_x0000_s1169" type="#_x0000_t176" style="position:absolute;left:5093;top:3546;width:1411;height:864" fillcolor="#9cf">
              <v:textbox style="mso-next-textbox:#_x0000_s1169">
                <w:txbxContent>
                  <w:p w:rsidR="00624942" w:rsidRDefault="00624942" w:rsidP="00CE17D3">
                    <w:pPr>
                      <w:jc w:val="center"/>
                    </w:pPr>
                    <w:r>
                      <w:t>Medical Devices Committee</w:t>
                    </w:r>
                  </w:p>
                </w:txbxContent>
              </v:textbox>
            </v:shape>
            <v:line id="_x0000_s1170" style="position:absolute" from="3974,4702" to="3976,4990" strokeweight="1.75pt"/>
            <v:line id="_x0000_s1171" style="position:absolute" from="5796,4698" to="5798,4986" strokeweight="1.75pt"/>
            <v:line id="_x0000_s1172" style="position:absolute" from="7985,4702" to="7986,4990" strokeweight="1.75pt"/>
            <v:shapetype id="_x0000_t32" coordsize="21600,21600" o:spt="32" o:oned="t" path="m,l21600,21600e" filled="f">
              <v:path arrowok="t" fillok="f" o:connecttype="none"/>
              <o:lock v:ext="edit" shapetype="t"/>
            </v:shapetype>
            <v:shape id="_x0000_s1173" type="#_x0000_t32" style="position:absolute;left:3974;top:4698;width:4012;height:4" o:connectortype="straight" strokeweight="1.5pt"/>
            <w10:wrap type="none"/>
            <w10:anchorlock/>
          </v:group>
        </w:pict>
      </w:r>
    </w:p>
    <w:p w:rsidR="00B71CEA" w:rsidRDefault="00B71CEA" w:rsidP="00B71CEA">
      <w:pPr>
        <w:rPr>
          <w:i/>
        </w:rPr>
      </w:pPr>
    </w:p>
    <w:p w:rsidR="00B71CEA" w:rsidRDefault="00B71CEA" w:rsidP="00B71CEA">
      <w:pPr>
        <w:rPr>
          <w:i/>
        </w:rPr>
      </w:pPr>
    </w:p>
    <w:p w:rsidR="00B71CEA" w:rsidRDefault="00B71CEA" w:rsidP="00B71CEA">
      <w:pPr>
        <w:rPr>
          <w:i/>
        </w:rPr>
      </w:pPr>
    </w:p>
    <w:sectPr w:rsidR="00B71CEA" w:rsidSect="00D53E91">
      <w:headerReference w:type="default" r:id="rId22"/>
      <w:footerReference w:type="even" r:id="rId23"/>
      <w:footerReference w:type="default" r:id="rId24"/>
      <w:pgSz w:w="11906" w:h="16838"/>
      <w:pgMar w:top="720" w:right="1274" w:bottom="720" w:left="993"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708" w:rsidRDefault="00B53708">
      <w:r>
        <w:separator/>
      </w:r>
    </w:p>
  </w:endnote>
  <w:endnote w:type="continuationSeparator" w:id="1">
    <w:p w:rsidR="00B53708" w:rsidRDefault="00B537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42" w:rsidRDefault="0023003A">
    <w:pPr>
      <w:pStyle w:val="Footer"/>
      <w:framePr w:wrap="around" w:vAnchor="text" w:hAnchor="margin" w:xAlign="right" w:y="1"/>
      <w:rPr>
        <w:rStyle w:val="PageNumber"/>
      </w:rPr>
    </w:pPr>
    <w:r>
      <w:rPr>
        <w:rStyle w:val="PageNumber"/>
      </w:rPr>
      <w:fldChar w:fldCharType="begin"/>
    </w:r>
    <w:r w:rsidR="00624942">
      <w:rPr>
        <w:rStyle w:val="PageNumber"/>
      </w:rPr>
      <w:instrText xml:space="preserve">PAGE  </w:instrText>
    </w:r>
    <w:r>
      <w:rPr>
        <w:rStyle w:val="PageNumber"/>
      </w:rPr>
      <w:fldChar w:fldCharType="end"/>
    </w:r>
  </w:p>
  <w:p w:rsidR="00624942" w:rsidRDefault="006249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42" w:rsidRDefault="0023003A" w:rsidP="00A77349">
    <w:pPr>
      <w:pStyle w:val="Footer"/>
      <w:framePr w:wrap="around" w:vAnchor="text" w:hAnchor="page" w:x="11242" w:y="539"/>
      <w:rPr>
        <w:rStyle w:val="PageNumber"/>
      </w:rPr>
    </w:pPr>
    <w:r>
      <w:rPr>
        <w:rStyle w:val="PageNumber"/>
      </w:rPr>
      <w:fldChar w:fldCharType="begin"/>
    </w:r>
    <w:r w:rsidR="00624942">
      <w:rPr>
        <w:rStyle w:val="PageNumber"/>
      </w:rPr>
      <w:instrText xml:space="preserve">PAGE  </w:instrText>
    </w:r>
    <w:r>
      <w:rPr>
        <w:rStyle w:val="PageNumber"/>
      </w:rPr>
      <w:fldChar w:fldCharType="separate"/>
    </w:r>
    <w:r w:rsidR="00AA69ED">
      <w:rPr>
        <w:rStyle w:val="PageNumber"/>
        <w:noProof/>
      </w:rPr>
      <w:t>1</w:t>
    </w:r>
    <w:r>
      <w:rPr>
        <w:rStyle w:val="PageNumber"/>
      </w:rPr>
      <w:fldChar w:fldCharType="end"/>
    </w:r>
  </w:p>
  <w:p w:rsidR="00624942" w:rsidRDefault="00624942">
    <w:pPr>
      <w:pStyle w:val="Footer"/>
      <w:ind w:right="360"/>
    </w:pPr>
    <w:r>
      <w:t>________________THIS IS A ONE PAGE SUMMARY ONLY________________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42" w:rsidRDefault="0023003A">
    <w:pPr>
      <w:pStyle w:val="Footer"/>
      <w:framePr w:wrap="around" w:vAnchor="text" w:hAnchor="margin" w:xAlign="right" w:y="1"/>
      <w:rPr>
        <w:rStyle w:val="PageNumber"/>
      </w:rPr>
    </w:pPr>
    <w:r>
      <w:rPr>
        <w:rStyle w:val="PageNumber"/>
      </w:rPr>
      <w:fldChar w:fldCharType="begin"/>
    </w:r>
    <w:r w:rsidR="00624942">
      <w:rPr>
        <w:rStyle w:val="PageNumber"/>
      </w:rPr>
      <w:instrText xml:space="preserve">PAGE  </w:instrText>
    </w:r>
    <w:r>
      <w:rPr>
        <w:rStyle w:val="PageNumber"/>
      </w:rPr>
      <w:fldChar w:fldCharType="end"/>
    </w:r>
  </w:p>
  <w:p w:rsidR="00624942" w:rsidRDefault="0062494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42" w:rsidRDefault="0023003A">
    <w:pPr>
      <w:pStyle w:val="Footer"/>
      <w:framePr w:wrap="around" w:vAnchor="text" w:hAnchor="margin" w:xAlign="right" w:y="1"/>
      <w:rPr>
        <w:rStyle w:val="PageNumber"/>
      </w:rPr>
    </w:pPr>
    <w:r>
      <w:rPr>
        <w:rStyle w:val="PageNumber"/>
      </w:rPr>
      <w:fldChar w:fldCharType="begin"/>
    </w:r>
    <w:r w:rsidR="00624942">
      <w:rPr>
        <w:rStyle w:val="PageNumber"/>
      </w:rPr>
      <w:instrText xml:space="preserve">PAGE  </w:instrText>
    </w:r>
    <w:r>
      <w:rPr>
        <w:rStyle w:val="PageNumber"/>
      </w:rPr>
      <w:fldChar w:fldCharType="separate"/>
    </w:r>
    <w:r w:rsidR="00AA69ED">
      <w:rPr>
        <w:rStyle w:val="PageNumber"/>
        <w:noProof/>
      </w:rPr>
      <w:t>5</w:t>
    </w:r>
    <w:r>
      <w:rPr>
        <w:rStyle w:val="PageNumber"/>
      </w:rPr>
      <w:fldChar w:fldCharType="end"/>
    </w:r>
  </w:p>
  <w:p w:rsidR="00624942" w:rsidRDefault="006249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708" w:rsidRDefault="00B53708">
      <w:r>
        <w:separator/>
      </w:r>
    </w:p>
  </w:footnote>
  <w:footnote w:type="continuationSeparator" w:id="1">
    <w:p w:rsidR="00B53708" w:rsidRDefault="00B53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42" w:rsidRDefault="00624942">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942" w:rsidRDefault="006249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FA3"/>
    <w:multiLevelType w:val="hybridMultilevel"/>
    <w:tmpl w:val="CDFE2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F03AD"/>
    <w:multiLevelType w:val="hybridMultilevel"/>
    <w:tmpl w:val="9D3A3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EB49CF"/>
    <w:multiLevelType w:val="hybridMultilevel"/>
    <w:tmpl w:val="B6D46F76"/>
    <w:lvl w:ilvl="0" w:tplc="08090001">
      <w:start w:val="1"/>
      <w:numFmt w:val="bullet"/>
      <w:lvlText w:val=""/>
      <w:lvlJc w:val="left"/>
      <w:pPr>
        <w:ind w:left="13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5E0574D"/>
    <w:multiLevelType w:val="hybridMultilevel"/>
    <w:tmpl w:val="C686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F73D5E"/>
    <w:multiLevelType w:val="hybridMultilevel"/>
    <w:tmpl w:val="21E2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17191"/>
    <w:multiLevelType w:val="hybridMultilevel"/>
    <w:tmpl w:val="9842C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C57A1D"/>
    <w:multiLevelType w:val="hybridMultilevel"/>
    <w:tmpl w:val="1F764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D460A9"/>
    <w:multiLevelType w:val="hybridMultilevel"/>
    <w:tmpl w:val="16F6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D56D42"/>
    <w:multiLevelType w:val="hybridMultilevel"/>
    <w:tmpl w:val="584E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81784C"/>
    <w:multiLevelType w:val="hybridMultilevel"/>
    <w:tmpl w:val="4BC67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B93BAD"/>
    <w:multiLevelType w:val="hybridMultilevel"/>
    <w:tmpl w:val="8102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0675CA"/>
    <w:multiLevelType w:val="hybridMultilevel"/>
    <w:tmpl w:val="528E91F8"/>
    <w:lvl w:ilvl="0" w:tplc="B378801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12">
    <w:nsid w:val="3CBD6FF6"/>
    <w:multiLevelType w:val="multilevel"/>
    <w:tmpl w:val="FD52CD5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360"/>
        </w:tabs>
        <w:ind w:left="360" w:hanging="360"/>
      </w:pPr>
      <w:rPr>
        <w:rFonts w:ascii="Wingdings" w:hAnsi="Wingdings" w:hint="default"/>
      </w:rPr>
    </w:lvl>
    <w:lvl w:ilvl="3" w:tentative="1">
      <w:start w:val="1"/>
      <w:numFmt w:val="bullet"/>
      <w:lvlText w:val=""/>
      <w:lvlJc w:val="left"/>
      <w:pPr>
        <w:tabs>
          <w:tab w:val="num" w:pos="1080"/>
        </w:tabs>
        <w:ind w:left="1080" w:hanging="360"/>
      </w:pPr>
      <w:rPr>
        <w:rFonts w:ascii="Symbol" w:hAnsi="Symbol" w:hint="default"/>
      </w:rPr>
    </w:lvl>
    <w:lvl w:ilvl="4" w:tentative="1">
      <w:start w:val="1"/>
      <w:numFmt w:val="bullet"/>
      <w:lvlText w:val="o"/>
      <w:lvlJc w:val="left"/>
      <w:pPr>
        <w:tabs>
          <w:tab w:val="num" w:pos="1800"/>
        </w:tabs>
        <w:ind w:left="1800" w:hanging="360"/>
      </w:pPr>
      <w:rPr>
        <w:rFonts w:ascii="Courier New" w:hAnsi="Courier New" w:hint="default"/>
      </w:rPr>
    </w:lvl>
    <w:lvl w:ilvl="5" w:tentative="1">
      <w:start w:val="1"/>
      <w:numFmt w:val="bullet"/>
      <w:lvlText w:val=""/>
      <w:lvlJc w:val="left"/>
      <w:pPr>
        <w:tabs>
          <w:tab w:val="num" w:pos="2520"/>
        </w:tabs>
        <w:ind w:left="2520" w:hanging="360"/>
      </w:pPr>
      <w:rPr>
        <w:rFonts w:ascii="Wingdings" w:hAnsi="Wingdings" w:hint="default"/>
      </w:rPr>
    </w:lvl>
    <w:lvl w:ilvl="6" w:tentative="1">
      <w:start w:val="1"/>
      <w:numFmt w:val="bullet"/>
      <w:lvlText w:val=""/>
      <w:lvlJc w:val="left"/>
      <w:pPr>
        <w:tabs>
          <w:tab w:val="num" w:pos="3240"/>
        </w:tabs>
        <w:ind w:left="3240" w:hanging="360"/>
      </w:pPr>
      <w:rPr>
        <w:rFonts w:ascii="Symbol" w:hAnsi="Symbol" w:hint="default"/>
      </w:rPr>
    </w:lvl>
    <w:lvl w:ilvl="7" w:tentative="1">
      <w:start w:val="1"/>
      <w:numFmt w:val="bullet"/>
      <w:lvlText w:val="o"/>
      <w:lvlJc w:val="left"/>
      <w:pPr>
        <w:tabs>
          <w:tab w:val="num" w:pos="3960"/>
        </w:tabs>
        <w:ind w:left="3960" w:hanging="360"/>
      </w:pPr>
      <w:rPr>
        <w:rFonts w:ascii="Courier New" w:hAnsi="Courier New" w:hint="default"/>
      </w:rPr>
    </w:lvl>
    <w:lvl w:ilvl="8" w:tentative="1">
      <w:start w:val="1"/>
      <w:numFmt w:val="bullet"/>
      <w:lvlText w:val=""/>
      <w:lvlJc w:val="left"/>
      <w:pPr>
        <w:tabs>
          <w:tab w:val="num" w:pos="4680"/>
        </w:tabs>
        <w:ind w:left="4680" w:hanging="360"/>
      </w:pPr>
      <w:rPr>
        <w:rFonts w:ascii="Wingdings" w:hAnsi="Wingdings" w:hint="default"/>
      </w:rPr>
    </w:lvl>
  </w:abstractNum>
  <w:abstractNum w:abstractNumId="13">
    <w:nsid w:val="40995EF9"/>
    <w:multiLevelType w:val="hybridMultilevel"/>
    <w:tmpl w:val="63041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1C424F"/>
    <w:multiLevelType w:val="hybridMultilevel"/>
    <w:tmpl w:val="423C8A6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B6D5440"/>
    <w:multiLevelType w:val="hybridMultilevel"/>
    <w:tmpl w:val="A54E3830"/>
    <w:lvl w:ilvl="0" w:tplc="B378801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786412"/>
    <w:multiLevelType w:val="hybridMultilevel"/>
    <w:tmpl w:val="B7A0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2E2FED"/>
    <w:multiLevelType w:val="hybridMultilevel"/>
    <w:tmpl w:val="BA84C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115A9E"/>
    <w:multiLevelType w:val="hybridMultilevel"/>
    <w:tmpl w:val="69960D3C"/>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9">
    <w:nsid w:val="65E54C91"/>
    <w:multiLevelType w:val="hybridMultilevel"/>
    <w:tmpl w:val="2AD45F8E"/>
    <w:lvl w:ilvl="0" w:tplc="C5909C1C">
      <w:start w:val="1"/>
      <w:numFmt w:val="bullet"/>
      <w:lvlText w:val=""/>
      <w:lvlJc w:val="left"/>
      <w:pPr>
        <w:tabs>
          <w:tab w:val="num" w:pos="927"/>
        </w:tabs>
        <w:ind w:left="92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2923FC"/>
    <w:multiLevelType w:val="hybridMultilevel"/>
    <w:tmpl w:val="9AFAEB4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5FF023A"/>
    <w:multiLevelType w:val="hybridMultilevel"/>
    <w:tmpl w:val="58763F96"/>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2">
    <w:nsid w:val="7B90216A"/>
    <w:multiLevelType w:val="multilevel"/>
    <w:tmpl w:val="C28E3EAE"/>
    <w:lvl w:ilvl="0">
      <w:start w:val="1"/>
      <w:numFmt w:val="decimal"/>
      <w:pStyle w:val="Heading1"/>
      <w:lvlText w:val="%1"/>
      <w:lvlJc w:val="left"/>
      <w:pPr>
        <w:tabs>
          <w:tab w:val="num" w:pos="716"/>
        </w:tabs>
        <w:ind w:left="716" w:hanging="432"/>
      </w:pPr>
    </w:lvl>
    <w:lvl w:ilvl="1">
      <w:start w:val="1"/>
      <w:numFmt w:val="decimal"/>
      <w:pStyle w:val="Heading2"/>
      <w:lvlText w:val="%1.%2"/>
      <w:lvlJc w:val="left"/>
      <w:pPr>
        <w:tabs>
          <w:tab w:val="num" w:pos="860"/>
        </w:tabs>
        <w:ind w:left="860" w:hanging="576"/>
      </w:pPr>
    </w:lvl>
    <w:lvl w:ilvl="2">
      <w:start w:val="1"/>
      <w:numFmt w:val="decimal"/>
      <w:pStyle w:val="Heading3"/>
      <w:lvlText w:val="%1.%2.%3"/>
      <w:lvlJc w:val="left"/>
      <w:pPr>
        <w:tabs>
          <w:tab w:val="num" w:pos="1004"/>
        </w:tabs>
        <w:ind w:left="1004" w:hanging="720"/>
      </w:pPr>
    </w:lvl>
    <w:lvl w:ilvl="3">
      <w:start w:val="1"/>
      <w:numFmt w:val="decimal"/>
      <w:lvlText w:val="%1.%2.%3.%4"/>
      <w:lvlJc w:val="left"/>
      <w:pPr>
        <w:tabs>
          <w:tab w:val="num" w:pos="1148"/>
        </w:tabs>
        <w:ind w:left="1148" w:hanging="864"/>
      </w:pPr>
    </w:lvl>
    <w:lvl w:ilvl="4">
      <w:start w:val="1"/>
      <w:numFmt w:val="decimal"/>
      <w:lvlText w:val="%1.%2.%3.%4.%5"/>
      <w:lvlJc w:val="left"/>
      <w:pPr>
        <w:tabs>
          <w:tab w:val="num" w:pos="1292"/>
        </w:tabs>
        <w:ind w:left="1292" w:hanging="1008"/>
      </w:pPr>
    </w:lvl>
    <w:lvl w:ilvl="5">
      <w:start w:val="1"/>
      <w:numFmt w:val="decimal"/>
      <w:lvlText w:val="%1.%2.%3.%4.%5.%6"/>
      <w:lvlJc w:val="left"/>
      <w:pPr>
        <w:tabs>
          <w:tab w:val="num" w:pos="1436"/>
        </w:tabs>
        <w:ind w:left="1436" w:hanging="1152"/>
      </w:pPr>
    </w:lvl>
    <w:lvl w:ilvl="6">
      <w:start w:val="1"/>
      <w:numFmt w:val="decimal"/>
      <w:lvlText w:val="%1.%2.%3.%4.%5.%6.%7"/>
      <w:lvlJc w:val="left"/>
      <w:pPr>
        <w:tabs>
          <w:tab w:val="num" w:pos="1580"/>
        </w:tabs>
        <w:ind w:left="1580" w:hanging="1296"/>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1868"/>
        </w:tabs>
        <w:ind w:left="1868" w:hanging="1584"/>
      </w:pPr>
    </w:lvl>
  </w:abstractNum>
  <w:num w:numId="1">
    <w:abstractNumId w:val="22"/>
  </w:num>
  <w:num w:numId="2">
    <w:abstractNumId w:val="19"/>
  </w:num>
  <w:num w:numId="3">
    <w:abstractNumId w:val="15"/>
  </w:num>
  <w:num w:numId="4">
    <w:abstractNumId w:val="14"/>
  </w:num>
  <w:num w:numId="5">
    <w:abstractNumId w:val="12"/>
  </w:num>
  <w:num w:numId="6">
    <w:abstractNumId w:val="17"/>
  </w:num>
  <w:num w:numId="7">
    <w:abstractNumId w:val="0"/>
  </w:num>
  <w:num w:numId="8">
    <w:abstractNumId w:val="7"/>
  </w:num>
  <w:num w:numId="9">
    <w:abstractNumId w:val="9"/>
  </w:num>
  <w:num w:numId="10">
    <w:abstractNumId w:val="13"/>
  </w:num>
  <w:num w:numId="11">
    <w:abstractNumId w:val="5"/>
  </w:num>
  <w:num w:numId="12">
    <w:abstractNumId w:val="11"/>
  </w:num>
  <w:num w:numId="13">
    <w:abstractNumId w:val="20"/>
  </w:num>
  <w:num w:numId="14">
    <w:abstractNumId w:val="21"/>
  </w:num>
  <w:num w:numId="15">
    <w:abstractNumId w:val="1"/>
  </w:num>
  <w:num w:numId="16">
    <w:abstractNumId w:val="3"/>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16"/>
  </w:num>
  <w:num w:numId="21">
    <w:abstractNumId w:val="10"/>
  </w:num>
  <w:num w:numId="22">
    <w:abstractNumId w:val="2"/>
  </w:num>
  <w:num w:numId="23">
    <w:abstractNumId w:val="8"/>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47F62"/>
    <w:rsid w:val="00007B87"/>
    <w:rsid w:val="00007F56"/>
    <w:rsid w:val="00040CE8"/>
    <w:rsid w:val="000621AA"/>
    <w:rsid w:val="00082DFF"/>
    <w:rsid w:val="000B1B64"/>
    <w:rsid w:val="000B799C"/>
    <w:rsid w:val="000C295F"/>
    <w:rsid w:val="000D4B16"/>
    <w:rsid w:val="000D60C3"/>
    <w:rsid w:val="000E428F"/>
    <w:rsid w:val="000E56C7"/>
    <w:rsid w:val="000E5D0D"/>
    <w:rsid w:val="00102478"/>
    <w:rsid w:val="001165A9"/>
    <w:rsid w:val="0013008C"/>
    <w:rsid w:val="00130C0A"/>
    <w:rsid w:val="00144421"/>
    <w:rsid w:val="0015589A"/>
    <w:rsid w:val="0016380C"/>
    <w:rsid w:val="00167BEC"/>
    <w:rsid w:val="001809DB"/>
    <w:rsid w:val="00186EA2"/>
    <w:rsid w:val="001B1B53"/>
    <w:rsid w:val="001D20E7"/>
    <w:rsid w:val="00212170"/>
    <w:rsid w:val="0023003A"/>
    <w:rsid w:val="002670F6"/>
    <w:rsid w:val="00273E5D"/>
    <w:rsid w:val="00282064"/>
    <w:rsid w:val="002C2323"/>
    <w:rsid w:val="002E600C"/>
    <w:rsid w:val="00312A19"/>
    <w:rsid w:val="003216B0"/>
    <w:rsid w:val="0033789C"/>
    <w:rsid w:val="00380A52"/>
    <w:rsid w:val="003827A1"/>
    <w:rsid w:val="00391763"/>
    <w:rsid w:val="003B5679"/>
    <w:rsid w:val="003C1F27"/>
    <w:rsid w:val="003D4B6C"/>
    <w:rsid w:val="003F66C2"/>
    <w:rsid w:val="00401AA4"/>
    <w:rsid w:val="00405FC2"/>
    <w:rsid w:val="00425D04"/>
    <w:rsid w:val="00466046"/>
    <w:rsid w:val="00471084"/>
    <w:rsid w:val="00473251"/>
    <w:rsid w:val="00495998"/>
    <w:rsid w:val="004A181C"/>
    <w:rsid w:val="004E398B"/>
    <w:rsid w:val="00501C98"/>
    <w:rsid w:val="00512748"/>
    <w:rsid w:val="00520765"/>
    <w:rsid w:val="0052351A"/>
    <w:rsid w:val="005252EC"/>
    <w:rsid w:val="0052767F"/>
    <w:rsid w:val="00534477"/>
    <w:rsid w:val="00541408"/>
    <w:rsid w:val="00543675"/>
    <w:rsid w:val="00560C61"/>
    <w:rsid w:val="005715C4"/>
    <w:rsid w:val="00583FDD"/>
    <w:rsid w:val="005A64EA"/>
    <w:rsid w:val="005A77D9"/>
    <w:rsid w:val="005B2118"/>
    <w:rsid w:val="005E0CE4"/>
    <w:rsid w:val="005E4472"/>
    <w:rsid w:val="005F24C3"/>
    <w:rsid w:val="00601F1F"/>
    <w:rsid w:val="00621438"/>
    <w:rsid w:val="00624942"/>
    <w:rsid w:val="006619D9"/>
    <w:rsid w:val="00666107"/>
    <w:rsid w:val="00673D13"/>
    <w:rsid w:val="006902F4"/>
    <w:rsid w:val="00694939"/>
    <w:rsid w:val="006E0CB1"/>
    <w:rsid w:val="00707A23"/>
    <w:rsid w:val="00710F2D"/>
    <w:rsid w:val="007239D4"/>
    <w:rsid w:val="007249DF"/>
    <w:rsid w:val="00750B2B"/>
    <w:rsid w:val="0076606C"/>
    <w:rsid w:val="007777EC"/>
    <w:rsid w:val="007B1317"/>
    <w:rsid w:val="007B31A0"/>
    <w:rsid w:val="007B3FE1"/>
    <w:rsid w:val="007C4A65"/>
    <w:rsid w:val="007D5583"/>
    <w:rsid w:val="007E244E"/>
    <w:rsid w:val="007E4632"/>
    <w:rsid w:val="00831C57"/>
    <w:rsid w:val="008342BE"/>
    <w:rsid w:val="008679BF"/>
    <w:rsid w:val="00884193"/>
    <w:rsid w:val="00884885"/>
    <w:rsid w:val="00896487"/>
    <w:rsid w:val="008964DE"/>
    <w:rsid w:val="008B6549"/>
    <w:rsid w:val="008E224C"/>
    <w:rsid w:val="0091064B"/>
    <w:rsid w:val="00910928"/>
    <w:rsid w:val="00923369"/>
    <w:rsid w:val="00981D1A"/>
    <w:rsid w:val="009A52B0"/>
    <w:rsid w:val="009B6DB2"/>
    <w:rsid w:val="009C36E1"/>
    <w:rsid w:val="009C52AB"/>
    <w:rsid w:val="00A04166"/>
    <w:rsid w:val="00A24A22"/>
    <w:rsid w:val="00A42506"/>
    <w:rsid w:val="00A459CA"/>
    <w:rsid w:val="00A47B55"/>
    <w:rsid w:val="00A67A6F"/>
    <w:rsid w:val="00A77349"/>
    <w:rsid w:val="00A941CA"/>
    <w:rsid w:val="00AA5BC0"/>
    <w:rsid w:val="00AA69ED"/>
    <w:rsid w:val="00AA798E"/>
    <w:rsid w:val="00AD3F4A"/>
    <w:rsid w:val="00AF692F"/>
    <w:rsid w:val="00B02A08"/>
    <w:rsid w:val="00B173F7"/>
    <w:rsid w:val="00B224F0"/>
    <w:rsid w:val="00B25D9B"/>
    <w:rsid w:val="00B46281"/>
    <w:rsid w:val="00B5020D"/>
    <w:rsid w:val="00B53708"/>
    <w:rsid w:val="00B71CEA"/>
    <w:rsid w:val="00B72337"/>
    <w:rsid w:val="00B74091"/>
    <w:rsid w:val="00BA1D99"/>
    <w:rsid w:val="00BD012C"/>
    <w:rsid w:val="00BD675E"/>
    <w:rsid w:val="00BD6B4B"/>
    <w:rsid w:val="00BD6EDF"/>
    <w:rsid w:val="00BE1F4D"/>
    <w:rsid w:val="00BE4B21"/>
    <w:rsid w:val="00C05FB7"/>
    <w:rsid w:val="00C11F6E"/>
    <w:rsid w:val="00C13E78"/>
    <w:rsid w:val="00C30A6B"/>
    <w:rsid w:val="00C322E5"/>
    <w:rsid w:val="00C61AE6"/>
    <w:rsid w:val="00C72E66"/>
    <w:rsid w:val="00CA486F"/>
    <w:rsid w:val="00CA70AB"/>
    <w:rsid w:val="00CB2FED"/>
    <w:rsid w:val="00CD3B1B"/>
    <w:rsid w:val="00CE17D3"/>
    <w:rsid w:val="00D1571C"/>
    <w:rsid w:val="00D2711A"/>
    <w:rsid w:val="00D37367"/>
    <w:rsid w:val="00D53E91"/>
    <w:rsid w:val="00D7058F"/>
    <w:rsid w:val="00D86F50"/>
    <w:rsid w:val="00D903B8"/>
    <w:rsid w:val="00D90808"/>
    <w:rsid w:val="00DA58BF"/>
    <w:rsid w:val="00DA6C44"/>
    <w:rsid w:val="00DE239D"/>
    <w:rsid w:val="00DF5275"/>
    <w:rsid w:val="00DF6108"/>
    <w:rsid w:val="00E05521"/>
    <w:rsid w:val="00E0738A"/>
    <w:rsid w:val="00E26669"/>
    <w:rsid w:val="00E368B2"/>
    <w:rsid w:val="00E40C0B"/>
    <w:rsid w:val="00E600AA"/>
    <w:rsid w:val="00E83CF7"/>
    <w:rsid w:val="00E8422D"/>
    <w:rsid w:val="00EB33DC"/>
    <w:rsid w:val="00EB4178"/>
    <w:rsid w:val="00EB5BE8"/>
    <w:rsid w:val="00EC58DB"/>
    <w:rsid w:val="00ED2B94"/>
    <w:rsid w:val="00ED3D3C"/>
    <w:rsid w:val="00EF3872"/>
    <w:rsid w:val="00F07CB4"/>
    <w:rsid w:val="00F34501"/>
    <w:rsid w:val="00F47F62"/>
    <w:rsid w:val="00F53F64"/>
    <w:rsid w:val="00F546CC"/>
    <w:rsid w:val="00F6318C"/>
    <w:rsid w:val="00F85BDF"/>
    <w:rsid w:val="00F927F2"/>
    <w:rsid w:val="00F94C43"/>
    <w:rsid w:val="00FB65DD"/>
    <w:rsid w:val="00FC2782"/>
    <w:rsid w:val="00FC5571"/>
    <w:rsid w:val="00FD05DD"/>
    <w:rsid w:val="00FE24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9"/>
    <o:shapelayout v:ext="edit">
      <o:idmap v:ext="edit" data="1"/>
      <o:rules v:ext="edit">
        <o:r id="V:Rule2" type="connector" idref="#_x0000_s1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D9B"/>
    <w:rPr>
      <w:rFonts w:ascii="Arial" w:hAnsi="Arial"/>
      <w:sz w:val="24"/>
      <w:lang w:eastAsia="en-US"/>
    </w:rPr>
  </w:style>
  <w:style w:type="paragraph" w:styleId="Heading1">
    <w:name w:val="heading 1"/>
    <w:aliases w:val="Logo Heading"/>
    <w:basedOn w:val="Normal"/>
    <w:next w:val="Normal"/>
    <w:qFormat/>
    <w:rsid w:val="00B25D9B"/>
    <w:pPr>
      <w:keepNext/>
      <w:numPr>
        <w:numId w:val="1"/>
      </w:numPr>
      <w:tabs>
        <w:tab w:val="clear" w:pos="716"/>
      </w:tabs>
      <w:ind w:left="431" w:hanging="431"/>
      <w:outlineLvl w:val="0"/>
    </w:pPr>
    <w:rPr>
      <w:b/>
      <w:caps/>
    </w:rPr>
  </w:style>
  <w:style w:type="paragraph" w:styleId="Heading2">
    <w:name w:val="heading 2"/>
    <w:basedOn w:val="Normal"/>
    <w:next w:val="Normal"/>
    <w:qFormat/>
    <w:rsid w:val="00B25D9B"/>
    <w:pPr>
      <w:keepNext/>
      <w:numPr>
        <w:ilvl w:val="1"/>
        <w:numId w:val="1"/>
      </w:numPr>
      <w:jc w:val="both"/>
      <w:outlineLvl w:val="1"/>
    </w:pPr>
    <w:rPr>
      <w:b/>
    </w:rPr>
  </w:style>
  <w:style w:type="paragraph" w:styleId="Heading3">
    <w:name w:val="heading 3"/>
    <w:basedOn w:val="Normal"/>
    <w:next w:val="Normal"/>
    <w:qFormat/>
    <w:rsid w:val="00B25D9B"/>
    <w:pPr>
      <w:keepNext/>
      <w:numPr>
        <w:ilvl w:val="2"/>
        <w:numId w:val="1"/>
      </w:numPr>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Normal"/>
    <w:rsid w:val="00B25D9B"/>
    <w:rPr>
      <w:i/>
      <w:iCs/>
      <w:color w:val="0000FF"/>
    </w:rPr>
  </w:style>
  <w:style w:type="paragraph" w:customStyle="1" w:styleId="HeaderFooterTitles">
    <w:name w:val="Header/Footer Titles"/>
    <w:basedOn w:val="Header"/>
    <w:rsid w:val="00B25D9B"/>
    <w:pPr>
      <w:tabs>
        <w:tab w:val="clear" w:pos="4153"/>
        <w:tab w:val="clear" w:pos="8306"/>
      </w:tabs>
    </w:pPr>
    <w:rPr>
      <w:b/>
      <w:caps/>
    </w:rPr>
  </w:style>
  <w:style w:type="paragraph" w:styleId="Header">
    <w:name w:val="header"/>
    <w:basedOn w:val="Normal"/>
    <w:rsid w:val="00B25D9B"/>
    <w:pPr>
      <w:tabs>
        <w:tab w:val="center" w:pos="4153"/>
        <w:tab w:val="right" w:pos="8306"/>
      </w:tabs>
    </w:pPr>
  </w:style>
  <w:style w:type="paragraph" w:styleId="Footer">
    <w:name w:val="footer"/>
    <w:basedOn w:val="Normal"/>
    <w:rsid w:val="00B25D9B"/>
    <w:pPr>
      <w:tabs>
        <w:tab w:val="center" w:pos="4153"/>
        <w:tab w:val="right" w:pos="8306"/>
      </w:tabs>
    </w:pPr>
  </w:style>
  <w:style w:type="character" w:styleId="PageNumber">
    <w:name w:val="page number"/>
    <w:basedOn w:val="DefaultParagraphFont"/>
    <w:rsid w:val="00B25D9B"/>
  </w:style>
  <w:style w:type="paragraph" w:styleId="Title">
    <w:name w:val="Title"/>
    <w:basedOn w:val="Normal"/>
    <w:qFormat/>
    <w:rsid w:val="00B25D9B"/>
    <w:pPr>
      <w:jc w:val="center"/>
    </w:pPr>
    <w:rPr>
      <w:rFonts w:cs="Arial"/>
      <w:b/>
      <w:bCs/>
      <w:szCs w:val="24"/>
    </w:rPr>
  </w:style>
  <w:style w:type="paragraph" w:styleId="BodyText">
    <w:name w:val="Body Text"/>
    <w:basedOn w:val="Normal"/>
    <w:rsid w:val="00B25D9B"/>
    <w:pPr>
      <w:jc w:val="both"/>
    </w:pPr>
    <w:rPr>
      <w:rFonts w:cs="Arial"/>
      <w:szCs w:val="24"/>
    </w:rPr>
  </w:style>
  <w:style w:type="paragraph" w:customStyle="1" w:styleId="Author">
    <w:name w:val="Author"/>
    <w:basedOn w:val="BodyText"/>
    <w:rsid w:val="00B25D9B"/>
    <w:pPr>
      <w:tabs>
        <w:tab w:val="right" w:pos="8640"/>
      </w:tabs>
      <w:spacing w:line="480" w:lineRule="auto"/>
      <w:jc w:val="center"/>
    </w:pPr>
    <w:rPr>
      <w:rFonts w:ascii="Garamond" w:hAnsi="Garamond" w:cs="Times New Roman"/>
      <w:spacing w:val="-2"/>
      <w:szCs w:val="20"/>
    </w:rPr>
  </w:style>
  <w:style w:type="table" w:styleId="TableGrid">
    <w:name w:val="Table Grid"/>
    <w:basedOn w:val="TableNormal"/>
    <w:uiPriority w:val="59"/>
    <w:rsid w:val="007B3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C58DB"/>
    <w:rPr>
      <w:rFonts w:ascii="Tahoma" w:hAnsi="Tahoma" w:cs="Tahoma"/>
      <w:sz w:val="16"/>
      <w:szCs w:val="16"/>
    </w:rPr>
  </w:style>
  <w:style w:type="paragraph" w:styleId="BodyText2">
    <w:name w:val="Body Text 2"/>
    <w:basedOn w:val="Normal"/>
    <w:link w:val="BodyText2Char"/>
    <w:uiPriority w:val="99"/>
    <w:rsid w:val="009C52AB"/>
    <w:pPr>
      <w:spacing w:after="120" w:line="480" w:lineRule="auto"/>
    </w:pPr>
    <w:rPr>
      <w:szCs w:val="24"/>
    </w:rPr>
  </w:style>
  <w:style w:type="character" w:customStyle="1" w:styleId="BodyText2Char">
    <w:name w:val="Body Text 2 Char"/>
    <w:basedOn w:val="DefaultParagraphFont"/>
    <w:link w:val="BodyText2"/>
    <w:uiPriority w:val="99"/>
    <w:rsid w:val="009C52AB"/>
    <w:rPr>
      <w:rFonts w:ascii="Arial" w:hAnsi="Arial"/>
      <w:sz w:val="24"/>
      <w:szCs w:val="24"/>
      <w:lang w:eastAsia="en-US"/>
    </w:rPr>
  </w:style>
  <w:style w:type="paragraph" w:styleId="ListParagraph">
    <w:name w:val="List Paragraph"/>
    <w:basedOn w:val="Normal"/>
    <w:uiPriority w:val="34"/>
    <w:qFormat/>
    <w:rsid w:val="000C295F"/>
    <w:pPr>
      <w:spacing w:after="200" w:line="276" w:lineRule="auto"/>
      <w:ind w:left="720"/>
      <w:contextualSpacing/>
    </w:pPr>
    <w:rPr>
      <w:rFonts w:ascii="Calibri" w:eastAsia="Calibri" w:hAnsi="Calibri"/>
      <w:sz w:val="22"/>
      <w:szCs w:val="22"/>
    </w:rPr>
  </w:style>
  <w:style w:type="paragraph" w:customStyle="1" w:styleId="Default">
    <w:name w:val="Default"/>
    <w:rsid w:val="000E428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18200652">
      <w:bodyDiv w:val="1"/>
      <w:marLeft w:val="0"/>
      <w:marRight w:val="0"/>
      <w:marTop w:val="0"/>
      <w:marBottom w:val="0"/>
      <w:divBdr>
        <w:top w:val="none" w:sz="0" w:space="0" w:color="auto"/>
        <w:left w:val="none" w:sz="0" w:space="0" w:color="auto"/>
        <w:bottom w:val="none" w:sz="0" w:space="0" w:color="auto"/>
        <w:right w:val="none" w:sz="0" w:space="0" w:color="auto"/>
      </w:divBdr>
    </w:div>
    <w:div w:id="190729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jpeg"/><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heartsol.nhs.uk\Departments\Faculty\TanyaSzczygielski\39%20-%20Tanya%20Ski\Medical%20Devices\Reports\Alaris%20SE%20Training%20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ODE32\opegh0\profile\owenspe's%20Documents\KPIs\Med%20Eng%20PPM%20Jan%2013%20with%20averag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hhcx4004\Group_4_Management\Medical%20Devices%20&amp;%20Decontamination\Medical%20Devices\Incidents\Equipment%20Unavailable%20logs\Equipment%20Unavailable%20Audit%20Log%20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Bhhcx4004\Group_4_Management\Medical%20Devices%20&amp;%20Decontamination\Medical%20Devices\Incidents\Equipment%20Unavailable%20logs\Equipment%20Unavailable%20Audit%20Log%20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Bhhcx4004\Group_4_Management\Medical%20Devices%20&amp;%20Decontamination\Medical%20Devices\Incidents\Equipment%20Unavailable%20logs\Equipment%20Unavailable%20Audit%20Log%2020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Bhhcx4004\Group_4_Management\Medical%20Devices%20&amp;%20Decontamination\Medical%20Devices\Incidents\Incident%20Audit%20Tracking%20File\Master%202013-14%20Incident%20Track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freelj\Local%20Settings\Temporary%20Internet%20Files\Content.Outlook\1K7PSJN7\Medical%20Device%20Incident%20comparision%202012-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Sheet1!$B$1</c:f>
              <c:strCache>
                <c:ptCount val="1"/>
                <c:pt idx="0">
                  <c:v>BHH</c:v>
                </c:pt>
              </c:strCache>
            </c:strRef>
          </c:tx>
          <c:marker>
            <c:symbol val="none"/>
          </c:marker>
          <c:cat>
            <c:strRef>
              <c:f>Sheet1!$A$2:$A$22</c:f>
              <c:strCache>
                <c:ptCount val="21"/>
                <c:pt idx="0">
                  <c:v>W/C 3rd June 2013</c:v>
                </c:pt>
                <c:pt idx="1">
                  <c:v>W/E 5th July 2013</c:v>
                </c:pt>
                <c:pt idx="2">
                  <c:v>W/E 19th July 2013</c:v>
                </c:pt>
                <c:pt idx="3">
                  <c:v>W/E 2nd August 2013</c:v>
                </c:pt>
                <c:pt idx="4">
                  <c:v>W/E 9th August 2013</c:v>
                </c:pt>
                <c:pt idx="5">
                  <c:v>W/E 16th August</c:v>
                </c:pt>
                <c:pt idx="6">
                  <c:v>W/E 30th August 2013</c:v>
                </c:pt>
                <c:pt idx="7">
                  <c:v>W/E 6th September 2013</c:v>
                </c:pt>
                <c:pt idx="8">
                  <c:v>W/E 13th September 2013</c:v>
                </c:pt>
                <c:pt idx="9">
                  <c:v>W/E 20th September 2013</c:v>
                </c:pt>
                <c:pt idx="10">
                  <c:v>W/E 27th September 2013</c:v>
                </c:pt>
                <c:pt idx="11">
                  <c:v>W/E 4th October 2013</c:v>
                </c:pt>
                <c:pt idx="12">
                  <c:v>W/E 11th October 2013</c:v>
                </c:pt>
                <c:pt idx="13">
                  <c:v>W/E 25th October 2013</c:v>
                </c:pt>
                <c:pt idx="14">
                  <c:v>W/E 1st November 2013</c:v>
                </c:pt>
                <c:pt idx="15">
                  <c:v>W/E 8th November 2013</c:v>
                </c:pt>
                <c:pt idx="16">
                  <c:v>W/E 15th November 2013</c:v>
                </c:pt>
                <c:pt idx="17">
                  <c:v>W/E 23rd November 2013</c:v>
                </c:pt>
                <c:pt idx="18">
                  <c:v>W/E 29th November 2013</c:v>
                </c:pt>
                <c:pt idx="19">
                  <c:v>W/E 6th December 2013</c:v>
                </c:pt>
                <c:pt idx="20">
                  <c:v>W/E 10th December 2013</c:v>
                </c:pt>
              </c:strCache>
            </c:strRef>
          </c:cat>
          <c:val>
            <c:numRef>
              <c:f>Sheet1!$B$2:$B$22</c:f>
              <c:numCache>
                <c:formatCode>0.00%</c:formatCode>
                <c:ptCount val="21"/>
                <c:pt idx="0" formatCode="0%">
                  <c:v>0</c:v>
                </c:pt>
                <c:pt idx="1">
                  <c:v>1.8000000000000026E-2</c:v>
                </c:pt>
                <c:pt idx="2">
                  <c:v>9.2000000000000026E-2</c:v>
                </c:pt>
                <c:pt idx="3" formatCode="0%">
                  <c:v>0.15000000000000024</c:v>
                </c:pt>
                <c:pt idx="4">
                  <c:v>0.1640000000000002</c:v>
                </c:pt>
                <c:pt idx="5" formatCode="0%">
                  <c:v>0.17</c:v>
                </c:pt>
                <c:pt idx="6">
                  <c:v>0.18200000000000024</c:v>
                </c:pt>
                <c:pt idx="7">
                  <c:v>0.18700000000000028</c:v>
                </c:pt>
                <c:pt idx="8">
                  <c:v>0.19100000000000014</c:v>
                </c:pt>
                <c:pt idx="9">
                  <c:v>0.20500000000000004</c:v>
                </c:pt>
                <c:pt idx="10">
                  <c:v>0.21100000000000024</c:v>
                </c:pt>
                <c:pt idx="11" formatCode="0%">
                  <c:v>0.22000000000000014</c:v>
                </c:pt>
                <c:pt idx="12">
                  <c:v>0.1660000000000002</c:v>
                </c:pt>
                <c:pt idx="13">
                  <c:v>0.20400000000000001</c:v>
                </c:pt>
                <c:pt idx="14">
                  <c:v>0.21600000000000025</c:v>
                </c:pt>
                <c:pt idx="15">
                  <c:v>0.21600000000000025</c:v>
                </c:pt>
                <c:pt idx="16">
                  <c:v>0.20200000000000001</c:v>
                </c:pt>
                <c:pt idx="17">
                  <c:v>0.20200000000000001</c:v>
                </c:pt>
                <c:pt idx="18">
                  <c:v>0.20700000000000021</c:v>
                </c:pt>
                <c:pt idx="19">
                  <c:v>0.20800000000000021</c:v>
                </c:pt>
                <c:pt idx="20">
                  <c:v>0.20800000000000021</c:v>
                </c:pt>
              </c:numCache>
            </c:numRef>
          </c:val>
        </c:ser>
        <c:ser>
          <c:idx val="1"/>
          <c:order val="1"/>
          <c:tx>
            <c:strRef>
              <c:f>Sheet1!$C$1</c:f>
              <c:strCache>
                <c:ptCount val="1"/>
                <c:pt idx="0">
                  <c:v>GHH</c:v>
                </c:pt>
              </c:strCache>
            </c:strRef>
          </c:tx>
          <c:marker>
            <c:symbol val="none"/>
          </c:marker>
          <c:cat>
            <c:strRef>
              <c:f>Sheet1!$A$2:$A$22</c:f>
              <c:strCache>
                <c:ptCount val="21"/>
                <c:pt idx="0">
                  <c:v>W/C 3rd June 2013</c:v>
                </c:pt>
                <c:pt idx="1">
                  <c:v>W/E 5th July 2013</c:v>
                </c:pt>
                <c:pt idx="2">
                  <c:v>W/E 19th July 2013</c:v>
                </c:pt>
                <c:pt idx="3">
                  <c:v>W/E 2nd August 2013</c:v>
                </c:pt>
                <c:pt idx="4">
                  <c:v>W/E 9th August 2013</c:v>
                </c:pt>
                <c:pt idx="5">
                  <c:v>W/E 16th August</c:v>
                </c:pt>
                <c:pt idx="6">
                  <c:v>W/E 30th August 2013</c:v>
                </c:pt>
                <c:pt idx="7">
                  <c:v>W/E 6th September 2013</c:v>
                </c:pt>
                <c:pt idx="8">
                  <c:v>W/E 13th September 2013</c:v>
                </c:pt>
                <c:pt idx="9">
                  <c:v>W/E 20th September 2013</c:v>
                </c:pt>
                <c:pt idx="10">
                  <c:v>W/E 27th September 2013</c:v>
                </c:pt>
                <c:pt idx="11">
                  <c:v>W/E 4th October 2013</c:v>
                </c:pt>
                <c:pt idx="12">
                  <c:v>W/E 11th October 2013</c:v>
                </c:pt>
                <c:pt idx="13">
                  <c:v>W/E 25th October 2013</c:v>
                </c:pt>
                <c:pt idx="14">
                  <c:v>W/E 1st November 2013</c:v>
                </c:pt>
                <c:pt idx="15">
                  <c:v>W/E 8th November 2013</c:v>
                </c:pt>
                <c:pt idx="16">
                  <c:v>W/E 15th November 2013</c:v>
                </c:pt>
                <c:pt idx="17">
                  <c:v>W/E 23rd November 2013</c:v>
                </c:pt>
                <c:pt idx="18">
                  <c:v>W/E 29th November 2013</c:v>
                </c:pt>
                <c:pt idx="19">
                  <c:v>W/E 6th December 2013</c:v>
                </c:pt>
                <c:pt idx="20">
                  <c:v>W/E 10th December 2013</c:v>
                </c:pt>
              </c:strCache>
            </c:strRef>
          </c:cat>
          <c:val>
            <c:numRef>
              <c:f>Sheet1!$C$2:$C$22</c:f>
              <c:numCache>
                <c:formatCode>0.00%</c:formatCode>
                <c:ptCount val="21"/>
                <c:pt idx="0" formatCode="0%">
                  <c:v>0</c:v>
                </c:pt>
                <c:pt idx="1">
                  <c:v>6.0000000000000123E-3</c:v>
                </c:pt>
                <c:pt idx="2">
                  <c:v>4.3000000000000003E-2</c:v>
                </c:pt>
                <c:pt idx="3">
                  <c:v>4.3000000000000003E-2</c:v>
                </c:pt>
                <c:pt idx="4">
                  <c:v>6.3000000000000014E-2</c:v>
                </c:pt>
                <c:pt idx="5">
                  <c:v>7.8000000000000125E-2</c:v>
                </c:pt>
                <c:pt idx="6">
                  <c:v>0.10600000000000002</c:v>
                </c:pt>
                <c:pt idx="7">
                  <c:v>0.11100000000000007</c:v>
                </c:pt>
                <c:pt idx="8">
                  <c:v>0.13100000000000001</c:v>
                </c:pt>
                <c:pt idx="9">
                  <c:v>0.14300000000000004</c:v>
                </c:pt>
                <c:pt idx="10">
                  <c:v>0.17200000000000001</c:v>
                </c:pt>
                <c:pt idx="11">
                  <c:v>0.17900000000000021</c:v>
                </c:pt>
                <c:pt idx="12">
                  <c:v>0.17900000000000021</c:v>
                </c:pt>
                <c:pt idx="13">
                  <c:v>0.1970000000000002</c:v>
                </c:pt>
                <c:pt idx="14">
                  <c:v>0.24600000000000025</c:v>
                </c:pt>
                <c:pt idx="15">
                  <c:v>0.24600000000000025</c:v>
                </c:pt>
                <c:pt idx="16">
                  <c:v>0.33100000000000063</c:v>
                </c:pt>
                <c:pt idx="17">
                  <c:v>0.38800000000000057</c:v>
                </c:pt>
                <c:pt idx="18">
                  <c:v>0.46100000000000002</c:v>
                </c:pt>
                <c:pt idx="19">
                  <c:v>0.51700000000000002</c:v>
                </c:pt>
                <c:pt idx="20">
                  <c:v>0.53700000000000003</c:v>
                </c:pt>
              </c:numCache>
            </c:numRef>
          </c:val>
        </c:ser>
        <c:ser>
          <c:idx val="2"/>
          <c:order val="2"/>
          <c:tx>
            <c:strRef>
              <c:f>Sheet1!$D$1</c:f>
              <c:strCache>
                <c:ptCount val="1"/>
                <c:pt idx="0">
                  <c:v>SOL</c:v>
                </c:pt>
              </c:strCache>
            </c:strRef>
          </c:tx>
          <c:marker>
            <c:symbol val="none"/>
          </c:marker>
          <c:cat>
            <c:strRef>
              <c:f>Sheet1!$A$2:$A$22</c:f>
              <c:strCache>
                <c:ptCount val="21"/>
                <c:pt idx="0">
                  <c:v>W/C 3rd June 2013</c:v>
                </c:pt>
                <c:pt idx="1">
                  <c:v>W/E 5th July 2013</c:v>
                </c:pt>
                <c:pt idx="2">
                  <c:v>W/E 19th July 2013</c:v>
                </c:pt>
                <c:pt idx="3">
                  <c:v>W/E 2nd August 2013</c:v>
                </c:pt>
                <c:pt idx="4">
                  <c:v>W/E 9th August 2013</c:v>
                </c:pt>
                <c:pt idx="5">
                  <c:v>W/E 16th August</c:v>
                </c:pt>
                <c:pt idx="6">
                  <c:v>W/E 30th August 2013</c:v>
                </c:pt>
                <c:pt idx="7">
                  <c:v>W/E 6th September 2013</c:v>
                </c:pt>
                <c:pt idx="8">
                  <c:v>W/E 13th September 2013</c:v>
                </c:pt>
                <c:pt idx="9">
                  <c:v>W/E 20th September 2013</c:v>
                </c:pt>
                <c:pt idx="10">
                  <c:v>W/E 27th September 2013</c:v>
                </c:pt>
                <c:pt idx="11">
                  <c:v>W/E 4th October 2013</c:v>
                </c:pt>
                <c:pt idx="12">
                  <c:v>W/E 11th October 2013</c:v>
                </c:pt>
                <c:pt idx="13">
                  <c:v>W/E 25th October 2013</c:v>
                </c:pt>
                <c:pt idx="14">
                  <c:v>W/E 1st November 2013</c:v>
                </c:pt>
                <c:pt idx="15">
                  <c:v>W/E 8th November 2013</c:v>
                </c:pt>
                <c:pt idx="16">
                  <c:v>W/E 15th November 2013</c:v>
                </c:pt>
                <c:pt idx="17">
                  <c:v>W/E 23rd November 2013</c:v>
                </c:pt>
                <c:pt idx="18">
                  <c:v>W/E 29th November 2013</c:v>
                </c:pt>
                <c:pt idx="19">
                  <c:v>W/E 6th December 2013</c:v>
                </c:pt>
                <c:pt idx="20">
                  <c:v>W/E 10th December 2013</c:v>
                </c:pt>
              </c:strCache>
            </c:strRef>
          </c:cat>
          <c:val>
            <c:numRef>
              <c:f>Sheet1!$D$2:$D$22</c:f>
              <c:numCache>
                <c:formatCode>0.00%</c:formatCode>
                <c:ptCount val="21"/>
                <c:pt idx="0" formatCode="0%">
                  <c:v>0</c:v>
                </c:pt>
                <c:pt idx="1">
                  <c:v>9.0000000000000167E-3</c:v>
                </c:pt>
                <c:pt idx="2">
                  <c:v>6.6000000000000003E-2</c:v>
                </c:pt>
                <c:pt idx="3" formatCode="0%">
                  <c:v>8.0000000000000127E-2</c:v>
                </c:pt>
                <c:pt idx="4">
                  <c:v>8.1000000000000044E-2</c:v>
                </c:pt>
                <c:pt idx="5">
                  <c:v>0.10199999999999998</c:v>
                </c:pt>
                <c:pt idx="6">
                  <c:v>0.10800000000000012</c:v>
                </c:pt>
                <c:pt idx="7">
                  <c:v>0.12200000000000009</c:v>
                </c:pt>
                <c:pt idx="8">
                  <c:v>0.12400000000000012</c:v>
                </c:pt>
                <c:pt idx="9">
                  <c:v>0.13600000000000001</c:v>
                </c:pt>
                <c:pt idx="10">
                  <c:v>0.13800000000000001</c:v>
                </c:pt>
                <c:pt idx="11">
                  <c:v>0.1660000000000002</c:v>
                </c:pt>
                <c:pt idx="12">
                  <c:v>0.18900000000000028</c:v>
                </c:pt>
                <c:pt idx="13">
                  <c:v>0.22200000000000014</c:v>
                </c:pt>
                <c:pt idx="14">
                  <c:v>0.39600000000000063</c:v>
                </c:pt>
                <c:pt idx="15">
                  <c:v>0.39600000000000063</c:v>
                </c:pt>
                <c:pt idx="16">
                  <c:v>0.40500000000000008</c:v>
                </c:pt>
                <c:pt idx="17">
                  <c:v>0.42400000000000032</c:v>
                </c:pt>
                <c:pt idx="18">
                  <c:v>0.48400000000000032</c:v>
                </c:pt>
                <c:pt idx="19">
                  <c:v>0.51600000000000001</c:v>
                </c:pt>
                <c:pt idx="20">
                  <c:v>0.52600000000000002</c:v>
                </c:pt>
              </c:numCache>
            </c:numRef>
          </c:val>
        </c:ser>
        <c:marker val="1"/>
        <c:axId val="67721856"/>
        <c:axId val="67752320"/>
      </c:lineChart>
      <c:catAx>
        <c:axId val="67721856"/>
        <c:scaling>
          <c:orientation val="minMax"/>
        </c:scaling>
        <c:axPos val="b"/>
        <c:tickLblPos val="nextTo"/>
        <c:crossAx val="67752320"/>
        <c:crosses val="autoZero"/>
        <c:auto val="1"/>
        <c:lblAlgn val="ctr"/>
        <c:lblOffset val="100"/>
      </c:catAx>
      <c:valAx>
        <c:axId val="67752320"/>
        <c:scaling>
          <c:orientation val="minMax"/>
        </c:scaling>
        <c:axPos val="l"/>
        <c:majorGridlines/>
        <c:numFmt formatCode="0%" sourceLinked="1"/>
        <c:tickLblPos val="nextTo"/>
        <c:crossAx val="6772185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26"/>
  <c:chart>
    <c:view3D>
      <c:rAngAx val="1"/>
    </c:view3D>
    <c:plotArea>
      <c:layout/>
      <c:bar3DChart>
        <c:barDir val="col"/>
        <c:grouping val="clustered"/>
        <c:ser>
          <c:idx val="0"/>
          <c:order val="0"/>
          <c:tx>
            <c:strRef>
              <c:f>Sheet1!$A$3</c:f>
              <c:strCache>
                <c:ptCount val="1"/>
                <c:pt idx="0">
                  <c:v>GHH (Total clinical areas identified = 36)</c:v>
                </c:pt>
              </c:strCache>
            </c:strRef>
          </c:tx>
          <c:dLbls>
            <c:txPr>
              <a:bodyPr/>
              <a:lstStyle/>
              <a:p>
                <a:pPr>
                  <a:defRPr lang="en-US"/>
                </a:pPr>
                <a:endParaRPr lang="en-US"/>
              </a:p>
            </c:txPr>
            <c:showVal val="1"/>
          </c:dLbls>
          <c:cat>
            <c:strRef>
              <c:f>Sheet1!$B$2:$D$2</c:f>
              <c:strCache>
                <c:ptCount val="3"/>
                <c:pt idx="0">
                  <c:v>Completed</c:v>
                </c:pt>
                <c:pt idx="1">
                  <c:v>Ongoing</c:v>
                </c:pt>
                <c:pt idx="2">
                  <c:v>Did not engage with process - to be re-addressed in 2014</c:v>
                </c:pt>
              </c:strCache>
            </c:strRef>
          </c:cat>
          <c:val>
            <c:numRef>
              <c:f>Sheet1!$B$3:$D$3</c:f>
              <c:numCache>
                <c:formatCode>General</c:formatCode>
                <c:ptCount val="3"/>
                <c:pt idx="0">
                  <c:v>5</c:v>
                </c:pt>
                <c:pt idx="1">
                  <c:v>20</c:v>
                </c:pt>
                <c:pt idx="2">
                  <c:v>11</c:v>
                </c:pt>
              </c:numCache>
            </c:numRef>
          </c:val>
        </c:ser>
        <c:ser>
          <c:idx val="1"/>
          <c:order val="1"/>
          <c:tx>
            <c:strRef>
              <c:f>Sheet1!$A$4</c:f>
              <c:strCache>
                <c:ptCount val="1"/>
                <c:pt idx="0">
                  <c:v>SOL (Total clinical areas identified = 28)</c:v>
                </c:pt>
              </c:strCache>
            </c:strRef>
          </c:tx>
          <c:dLbls>
            <c:txPr>
              <a:bodyPr/>
              <a:lstStyle/>
              <a:p>
                <a:pPr>
                  <a:defRPr lang="en-US"/>
                </a:pPr>
                <a:endParaRPr lang="en-US"/>
              </a:p>
            </c:txPr>
            <c:showVal val="1"/>
          </c:dLbls>
          <c:cat>
            <c:strRef>
              <c:f>Sheet1!$B$2:$D$2</c:f>
              <c:strCache>
                <c:ptCount val="3"/>
                <c:pt idx="0">
                  <c:v>Completed</c:v>
                </c:pt>
                <c:pt idx="1">
                  <c:v>Ongoing</c:v>
                </c:pt>
                <c:pt idx="2">
                  <c:v>Did not engage with process - to be re-addressed in 2014</c:v>
                </c:pt>
              </c:strCache>
            </c:strRef>
          </c:cat>
          <c:val>
            <c:numRef>
              <c:f>Sheet1!$B$4:$D$4</c:f>
              <c:numCache>
                <c:formatCode>General</c:formatCode>
                <c:ptCount val="3"/>
                <c:pt idx="0">
                  <c:v>14</c:v>
                </c:pt>
                <c:pt idx="1">
                  <c:v>14</c:v>
                </c:pt>
                <c:pt idx="2">
                  <c:v>0</c:v>
                </c:pt>
              </c:numCache>
            </c:numRef>
          </c:val>
        </c:ser>
        <c:ser>
          <c:idx val="2"/>
          <c:order val="2"/>
          <c:tx>
            <c:strRef>
              <c:f>Sheet1!$A$5</c:f>
              <c:strCache>
                <c:ptCount val="1"/>
                <c:pt idx="0">
                  <c:v>BHH (Total clinical areas identified = 60)</c:v>
                </c:pt>
              </c:strCache>
            </c:strRef>
          </c:tx>
          <c:dLbls>
            <c:txPr>
              <a:bodyPr/>
              <a:lstStyle/>
              <a:p>
                <a:pPr>
                  <a:defRPr lang="en-US"/>
                </a:pPr>
                <a:endParaRPr lang="en-US"/>
              </a:p>
            </c:txPr>
            <c:showVal val="1"/>
          </c:dLbls>
          <c:cat>
            <c:strRef>
              <c:f>Sheet1!$B$2:$D$2</c:f>
              <c:strCache>
                <c:ptCount val="3"/>
                <c:pt idx="0">
                  <c:v>Completed</c:v>
                </c:pt>
                <c:pt idx="1">
                  <c:v>Ongoing</c:v>
                </c:pt>
                <c:pt idx="2">
                  <c:v>Did not engage with process - to be re-addressed in 2014</c:v>
                </c:pt>
              </c:strCache>
            </c:strRef>
          </c:cat>
          <c:val>
            <c:numRef>
              <c:f>Sheet1!$B$5:$D$5</c:f>
              <c:numCache>
                <c:formatCode>General</c:formatCode>
                <c:ptCount val="3"/>
                <c:pt idx="0">
                  <c:v>26</c:v>
                </c:pt>
                <c:pt idx="1">
                  <c:v>23</c:v>
                </c:pt>
                <c:pt idx="2">
                  <c:v>11</c:v>
                </c:pt>
              </c:numCache>
            </c:numRef>
          </c:val>
        </c:ser>
        <c:shape val="box"/>
        <c:axId val="18976128"/>
        <c:axId val="18986112"/>
        <c:axId val="0"/>
      </c:bar3DChart>
      <c:catAx>
        <c:axId val="18976128"/>
        <c:scaling>
          <c:orientation val="minMax"/>
        </c:scaling>
        <c:axPos val="b"/>
        <c:tickLblPos val="nextTo"/>
        <c:txPr>
          <a:bodyPr/>
          <a:lstStyle/>
          <a:p>
            <a:pPr>
              <a:defRPr lang="en-US"/>
            </a:pPr>
            <a:endParaRPr lang="en-US"/>
          </a:p>
        </c:txPr>
        <c:crossAx val="18986112"/>
        <c:crosses val="autoZero"/>
        <c:auto val="1"/>
        <c:lblAlgn val="ctr"/>
        <c:lblOffset val="100"/>
      </c:catAx>
      <c:valAx>
        <c:axId val="18986112"/>
        <c:scaling>
          <c:orientation val="minMax"/>
        </c:scaling>
        <c:axPos val="l"/>
        <c:majorGridlines/>
        <c:numFmt formatCode="General" sourceLinked="1"/>
        <c:tickLblPos val="nextTo"/>
        <c:txPr>
          <a:bodyPr/>
          <a:lstStyle/>
          <a:p>
            <a:pPr>
              <a:defRPr lang="en-US"/>
            </a:pPr>
            <a:endParaRPr lang="en-US"/>
          </a:p>
        </c:txPr>
        <c:crossAx val="18976128"/>
        <c:crosses val="autoZero"/>
        <c:crossBetween val="between"/>
      </c:valAx>
    </c:plotArea>
    <c:legend>
      <c:legendPos val="r"/>
      <c:layout/>
      <c:txPr>
        <a:bodyPr/>
        <a:lstStyle/>
        <a:p>
          <a:pPr>
            <a:defRPr lang="en-US">
              <a:solidFill>
                <a:sysClr val="windowText" lastClr="000000"/>
              </a:solidFill>
            </a:defRPr>
          </a:pPr>
          <a:endParaRPr lang="en-US"/>
        </a:p>
      </c:txPr>
    </c:legend>
    <c:plotVisOnly val="1"/>
  </c:chart>
  <c:spPr>
    <a:solidFill>
      <a:sysClr val="window" lastClr="FFFFFF"/>
    </a:solidFill>
    <a:ln w="38100">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9.2043963254593214E-2"/>
          <c:y val="2.8252405949256338E-2"/>
          <c:w val="0.69078937007874175"/>
          <c:h val="0.74747411781860595"/>
        </c:manualLayout>
      </c:layout>
      <c:lineChart>
        <c:grouping val="standard"/>
        <c:ser>
          <c:idx val="0"/>
          <c:order val="0"/>
          <c:tx>
            <c:strRef>
              <c:f>'Graph &amp; Data'!$A$25</c:f>
              <c:strCache>
                <c:ptCount val="1"/>
                <c:pt idx="0">
                  <c:v>Target</c:v>
                </c:pt>
              </c:strCache>
            </c:strRef>
          </c:tx>
          <c:marker>
            <c:symbol val="none"/>
          </c:marker>
          <c:cat>
            <c:numRef>
              <c:f>'Graph &amp; Data'!$B$24:$M$24</c:f>
              <c:numCache>
                <c:formatCode>mmm\-yy</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'Graph &amp; Data'!$B$25:$M$25</c:f>
              <c:numCache>
                <c:formatCode>0%</c:formatCode>
                <c:ptCount val="12"/>
                <c:pt idx="0">
                  <c:v>0.95000000000000062</c:v>
                </c:pt>
                <c:pt idx="1">
                  <c:v>0.95000000000000062</c:v>
                </c:pt>
                <c:pt idx="2">
                  <c:v>0.95000000000000062</c:v>
                </c:pt>
                <c:pt idx="3">
                  <c:v>0.95000000000000062</c:v>
                </c:pt>
                <c:pt idx="4">
                  <c:v>0.95000000000000062</c:v>
                </c:pt>
                <c:pt idx="5">
                  <c:v>0.95000000000000062</c:v>
                </c:pt>
                <c:pt idx="6">
                  <c:v>0.95000000000000062</c:v>
                </c:pt>
                <c:pt idx="7">
                  <c:v>0.95000000000000062</c:v>
                </c:pt>
                <c:pt idx="8">
                  <c:v>0.95000000000000062</c:v>
                </c:pt>
                <c:pt idx="9">
                  <c:v>0.95000000000000062</c:v>
                </c:pt>
                <c:pt idx="10">
                  <c:v>0.95000000000000062</c:v>
                </c:pt>
                <c:pt idx="11">
                  <c:v>0.95000000000000062</c:v>
                </c:pt>
              </c:numCache>
            </c:numRef>
          </c:val>
        </c:ser>
        <c:ser>
          <c:idx val="1"/>
          <c:order val="1"/>
          <c:tx>
            <c:strRef>
              <c:f>'Graph &amp; Data'!$A$26</c:f>
              <c:strCache>
                <c:ptCount val="1"/>
                <c:pt idx="0">
                  <c:v>BHH</c:v>
                </c:pt>
              </c:strCache>
            </c:strRef>
          </c:tx>
          <c:marker>
            <c:symbol val="none"/>
          </c:marker>
          <c:cat>
            <c:numRef>
              <c:f>'Graph &amp; Data'!$B$24:$M$24</c:f>
              <c:numCache>
                <c:formatCode>mmm\-yy</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'Graph &amp; Data'!$B$26:$M$26</c:f>
              <c:numCache>
                <c:formatCode>0%</c:formatCode>
                <c:ptCount val="12"/>
                <c:pt idx="0">
                  <c:v>0.92800000000000005</c:v>
                </c:pt>
                <c:pt idx="1">
                  <c:v>0.92700000000000005</c:v>
                </c:pt>
                <c:pt idx="2">
                  <c:v>0.92200000000000004</c:v>
                </c:pt>
                <c:pt idx="3">
                  <c:v>0.92549999999999999</c:v>
                </c:pt>
                <c:pt idx="4">
                  <c:v>0.95700000000000063</c:v>
                </c:pt>
                <c:pt idx="5">
                  <c:v>0.95400000000000063</c:v>
                </c:pt>
                <c:pt idx="6">
                  <c:v>0.95600000000000063</c:v>
                </c:pt>
                <c:pt idx="7">
                  <c:v>0.95800000000000063</c:v>
                </c:pt>
                <c:pt idx="8">
                  <c:v>0.96700000000000064</c:v>
                </c:pt>
                <c:pt idx="9">
                  <c:v>0.96400000000000063</c:v>
                </c:pt>
                <c:pt idx="10">
                  <c:v>0.94799999999999995</c:v>
                </c:pt>
                <c:pt idx="11">
                  <c:v>0.92900000000000005</c:v>
                </c:pt>
              </c:numCache>
            </c:numRef>
          </c:val>
        </c:ser>
        <c:ser>
          <c:idx val="2"/>
          <c:order val="2"/>
          <c:tx>
            <c:strRef>
              <c:f>'Graph &amp; Data'!$A$27</c:f>
              <c:strCache>
                <c:ptCount val="1"/>
                <c:pt idx="0">
                  <c:v>GHH</c:v>
                </c:pt>
              </c:strCache>
            </c:strRef>
          </c:tx>
          <c:marker>
            <c:symbol val="none"/>
          </c:marker>
          <c:cat>
            <c:numRef>
              <c:f>'Graph &amp; Data'!$B$24:$M$24</c:f>
              <c:numCache>
                <c:formatCode>mmm\-yy</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'Graph &amp; Data'!$B$27:$M$27</c:f>
              <c:numCache>
                <c:formatCode>0%</c:formatCode>
                <c:ptCount val="12"/>
                <c:pt idx="0">
                  <c:v>0.96700000000000064</c:v>
                </c:pt>
                <c:pt idx="1">
                  <c:v>0.95900000000000063</c:v>
                </c:pt>
                <c:pt idx="2">
                  <c:v>0.95500000000000063</c:v>
                </c:pt>
                <c:pt idx="3">
                  <c:v>0.95300000000000062</c:v>
                </c:pt>
                <c:pt idx="4">
                  <c:v>0.95900000000000063</c:v>
                </c:pt>
                <c:pt idx="5">
                  <c:v>0.94899999999999995</c:v>
                </c:pt>
                <c:pt idx="6">
                  <c:v>0.95200000000000062</c:v>
                </c:pt>
                <c:pt idx="7">
                  <c:v>0.95100000000000062</c:v>
                </c:pt>
                <c:pt idx="8">
                  <c:v>0.99</c:v>
                </c:pt>
                <c:pt idx="9">
                  <c:v>0.98799999999999999</c:v>
                </c:pt>
                <c:pt idx="10">
                  <c:v>0.98599999999999999</c:v>
                </c:pt>
                <c:pt idx="11">
                  <c:v>0.97400000000000064</c:v>
                </c:pt>
              </c:numCache>
            </c:numRef>
          </c:val>
        </c:ser>
        <c:ser>
          <c:idx val="3"/>
          <c:order val="3"/>
          <c:tx>
            <c:strRef>
              <c:f>'Graph &amp; Data'!$A$28</c:f>
              <c:strCache>
                <c:ptCount val="1"/>
                <c:pt idx="0">
                  <c:v>SH</c:v>
                </c:pt>
              </c:strCache>
            </c:strRef>
          </c:tx>
          <c:marker>
            <c:symbol val="none"/>
          </c:marker>
          <c:cat>
            <c:numRef>
              <c:f>'Graph &amp; Data'!$B$24:$M$24</c:f>
              <c:numCache>
                <c:formatCode>mmm\-yy</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'Graph &amp; Data'!$B$28:$M$28</c:f>
              <c:numCache>
                <c:formatCode>0%</c:formatCode>
                <c:ptCount val="12"/>
                <c:pt idx="0">
                  <c:v>0.98799999999999999</c:v>
                </c:pt>
                <c:pt idx="1">
                  <c:v>0.98899999999999999</c:v>
                </c:pt>
                <c:pt idx="2">
                  <c:v>0.99009999999999998</c:v>
                </c:pt>
                <c:pt idx="3">
                  <c:v>0.98699999999999999</c:v>
                </c:pt>
                <c:pt idx="4">
                  <c:v>0.98699999999999999</c:v>
                </c:pt>
                <c:pt idx="5">
                  <c:v>0.98299999999999998</c:v>
                </c:pt>
                <c:pt idx="6">
                  <c:v>0.97900000000000065</c:v>
                </c:pt>
                <c:pt idx="7">
                  <c:v>0.98299999999999998</c:v>
                </c:pt>
                <c:pt idx="8">
                  <c:v>0.996</c:v>
                </c:pt>
                <c:pt idx="9">
                  <c:v>0.99399999999999999</c:v>
                </c:pt>
                <c:pt idx="10">
                  <c:v>0.99099999999999999</c:v>
                </c:pt>
                <c:pt idx="11">
                  <c:v>0.98399999999999999</c:v>
                </c:pt>
              </c:numCache>
            </c:numRef>
          </c:val>
        </c:ser>
        <c:ser>
          <c:idx val="4"/>
          <c:order val="4"/>
          <c:tx>
            <c:strRef>
              <c:f>'Graph &amp; Data'!$A$29</c:f>
              <c:strCache>
                <c:ptCount val="1"/>
                <c:pt idx="0">
                  <c:v>Ave. Trust</c:v>
                </c:pt>
              </c:strCache>
            </c:strRef>
          </c:tx>
          <c:marker>
            <c:symbol val="none"/>
          </c:marker>
          <c:cat>
            <c:numRef>
              <c:f>'Graph &amp; Data'!$B$24:$M$24</c:f>
              <c:numCache>
                <c:formatCode>mmm\-yy</c:formatCode>
                <c:ptCount val="12"/>
                <c:pt idx="0">
                  <c:v>41275</c:v>
                </c:pt>
                <c:pt idx="1">
                  <c:v>41306</c:v>
                </c:pt>
                <c:pt idx="2">
                  <c:v>41334</c:v>
                </c:pt>
                <c:pt idx="3">
                  <c:v>41365</c:v>
                </c:pt>
                <c:pt idx="4">
                  <c:v>41395</c:v>
                </c:pt>
                <c:pt idx="5">
                  <c:v>41426</c:v>
                </c:pt>
                <c:pt idx="6">
                  <c:v>41456</c:v>
                </c:pt>
                <c:pt idx="7">
                  <c:v>41487</c:v>
                </c:pt>
                <c:pt idx="8">
                  <c:v>41518</c:v>
                </c:pt>
                <c:pt idx="9">
                  <c:v>41548</c:v>
                </c:pt>
                <c:pt idx="10">
                  <c:v>41579</c:v>
                </c:pt>
                <c:pt idx="11">
                  <c:v>41609</c:v>
                </c:pt>
              </c:numCache>
            </c:numRef>
          </c:cat>
          <c:val>
            <c:numRef>
              <c:f>'Graph &amp; Data'!$B$29:$M$29</c:f>
              <c:numCache>
                <c:formatCode>General</c:formatCode>
                <c:ptCount val="12"/>
                <c:pt idx="0">
                  <c:v>0.95300000000000062</c:v>
                </c:pt>
                <c:pt idx="1">
                  <c:v>0.94899999999999995</c:v>
                </c:pt>
                <c:pt idx="2">
                  <c:v>0.94599999999999995</c:v>
                </c:pt>
                <c:pt idx="3">
                  <c:v>0.94699999999999995</c:v>
                </c:pt>
                <c:pt idx="4">
                  <c:v>0.96300000000000063</c:v>
                </c:pt>
                <c:pt idx="5">
                  <c:v>0.95800000000000063</c:v>
                </c:pt>
                <c:pt idx="6">
                  <c:v>0.95900000000000063</c:v>
                </c:pt>
                <c:pt idx="7">
                  <c:v>0.96000000000000063</c:v>
                </c:pt>
                <c:pt idx="8">
                  <c:v>0.98099999999999998</c:v>
                </c:pt>
                <c:pt idx="9">
                  <c:v>0.97600000000000064</c:v>
                </c:pt>
                <c:pt idx="10">
                  <c:v>0.96900000000000064</c:v>
                </c:pt>
                <c:pt idx="11">
                  <c:v>0.95600000000000063</c:v>
                </c:pt>
              </c:numCache>
            </c:numRef>
          </c:val>
        </c:ser>
        <c:marker val="1"/>
        <c:axId val="68309376"/>
        <c:axId val="68310912"/>
      </c:lineChart>
      <c:dateAx>
        <c:axId val="68309376"/>
        <c:scaling>
          <c:orientation val="minMax"/>
        </c:scaling>
        <c:axPos val="b"/>
        <c:numFmt formatCode="mmm\-yy" sourceLinked="1"/>
        <c:tickLblPos val="nextTo"/>
        <c:txPr>
          <a:bodyPr/>
          <a:lstStyle/>
          <a:p>
            <a:pPr>
              <a:defRPr lang="en-US"/>
            </a:pPr>
            <a:endParaRPr lang="en-US"/>
          </a:p>
        </c:txPr>
        <c:crossAx val="68310912"/>
        <c:crosses val="autoZero"/>
        <c:auto val="1"/>
        <c:lblOffset val="100"/>
      </c:dateAx>
      <c:valAx>
        <c:axId val="68310912"/>
        <c:scaling>
          <c:orientation val="minMax"/>
        </c:scaling>
        <c:axPos val="l"/>
        <c:majorGridlines/>
        <c:numFmt formatCode="0%" sourceLinked="1"/>
        <c:tickLblPos val="nextTo"/>
        <c:txPr>
          <a:bodyPr/>
          <a:lstStyle/>
          <a:p>
            <a:pPr>
              <a:defRPr lang="en-US"/>
            </a:pPr>
            <a:endParaRPr lang="en-US"/>
          </a:p>
        </c:txPr>
        <c:crossAx val="68309376"/>
        <c:crosses val="autoZero"/>
        <c:crossBetween val="between"/>
      </c:valAx>
    </c:plotArea>
    <c:legend>
      <c:legendPos val="r"/>
      <c:layout/>
      <c:txPr>
        <a:bodyPr/>
        <a:lstStyle/>
        <a:p>
          <a:pPr>
            <a:defRPr lang="en-US"/>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'Data Charts '!$B$34</c:f>
              <c:strCache>
                <c:ptCount val="1"/>
                <c:pt idx="0">
                  <c:v>Total Unavailable 93</c:v>
                </c:pt>
              </c:strCache>
            </c:strRef>
          </c:tx>
          <c:cat>
            <c:strRef>
              <c:f>'Data Charts '!$A$35:$A$46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'Data Charts '!$B$35:$B$46</c:f>
              <c:numCache>
                <c:formatCode>General</c:formatCode>
                <c:ptCount val="12"/>
                <c:pt idx="0">
                  <c:v>8</c:v>
                </c:pt>
                <c:pt idx="1">
                  <c:v>12</c:v>
                </c:pt>
                <c:pt idx="2">
                  <c:v>14</c:v>
                </c:pt>
                <c:pt idx="3">
                  <c:v>9</c:v>
                </c:pt>
                <c:pt idx="4">
                  <c:v>6</c:v>
                </c:pt>
                <c:pt idx="5">
                  <c:v>2</c:v>
                </c:pt>
                <c:pt idx="6">
                  <c:v>13</c:v>
                </c:pt>
                <c:pt idx="7">
                  <c:v>2</c:v>
                </c:pt>
                <c:pt idx="8">
                  <c:v>3</c:v>
                </c:pt>
                <c:pt idx="9">
                  <c:v>11</c:v>
                </c:pt>
                <c:pt idx="10">
                  <c:v>9</c:v>
                </c:pt>
                <c:pt idx="11">
                  <c:v>4</c:v>
                </c:pt>
              </c:numCache>
            </c:numRef>
          </c:val>
        </c:ser>
        <c:ser>
          <c:idx val="1"/>
          <c:order val="1"/>
          <c:tx>
            <c:strRef>
              <c:f>'Data Charts '!$C$34</c:f>
              <c:strCache>
                <c:ptCount val="1"/>
                <c:pt idx="0">
                  <c:v>Outstanding 0</c:v>
                </c:pt>
              </c:strCache>
            </c:strRef>
          </c:tx>
          <c:cat>
            <c:strRef>
              <c:f>'Data Charts '!$A$35:$A$46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'Data Charts '!$C$35:$C$46</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axId val="68326912"/>
        <c:axId val="68328448"/>
      </c:barChart>
      <c:catAx>
        <c:axId val="68326912"/>
        <c:scaling>
          <c:orientation val="minMax"/>
        </c:scaling>
        <c:axPos val="b"/>
        <c:tickLblPos val="nextTo"/>
        <c:crossAx val="68328448"/>
        <c:crosses val="autoZero"/>
        <c:auto val="1"/>
        <c:lblAlgn val="ctr"/>
        <c:lblOffset val="100"/>
      </c:catAx>
      <c:valAx>
        <c:axId val="68328448"/>
        <c:scaling>
          <c:orientation val="minMax"/>
        </c:scaling>
        <c:axPos val="l"/>
        <c:majorGridlines/>
        <c:numFmt formatCode="General" sourceLinked="1"/>
        <c:tickLblPos val="nextTo"/>
        <c:crossAx val="68326912"/>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'Data Charts '!$B$3</c:f>
              <c:strCache>
                <c:ptCount val="1"/>
                <c:pt idx="0">
                  <c:v>Unavailable 93</c:v>
                </c:pt>
              </c:strCache>
            </c:strRef>
          </c:tx>
          <c:cat>
            <c:strRef>
              <c:f>'Data Charts '!$A$4:$A$8</c:f>
              <c:strCache>
                <c:ptCount val="5"/>
                <c:pt idx="0">
                  <c:v>CSS</c:v>
                </c:pt>
                <c:pt idx="1">
                  <c:v>W&amp;C</c:v>
                </c:pt>
                <c:pt idx="2">
                  <c:v>BHH</c:v>
                </c:pt>
                <c:pt idx="3">
                  <c:v>GHH</c:v>
                </c:pt>
                <c:pt idx="4">
                  <c:v>SH</c:v>
                </c:pt>
              </c:strCache>
            </c:strRef>
          </c:cat>
          <c:val>
            <c:numRef>
              <c:f>'Data Charts '!$B$4:$B$8</c:f>
              <c:numCache>
                <c:formatCode>General</c:formatCode>
                <c:ptCount val="5"/>
                <c:pt idx="0">
                  <c:v>30</c:v>
                </c:pt>
                <c:pt idx="1">
                  <c:v>14</c:v>
                </c:pt>
                <c:pt idx="2">
                  <c:v>33</c:v>
                </c:pt>
                <c:pt idx="3">
                  <c:v>8</c:v>
                </c:pt>
                <c:pt idx="4">
                  <c:v>8</c:v>
                </c:pt>
              </c:numCache>
            </c:numRef>
          </c:val>
        </c:ser>
        <c:ser>
          <c:idx val="1"/>
          <c:order val="1"/>
          <c:tx>
            <c:strRef>
              <c:f>'Data Charts '!$C$3</c:f>
              <c:strCache>
                <c:ptCount val="1"/>
                <c:pt idx="0">
                  <c:v>Outstanding 0</c:v>
                </c:pt>
              </c:strCache>
            </c:strRef>
          </c:tx>
          <c:cat>
            <c:strRef>
              <c:f>'Data Charts '!$A$4:$A$8</c:f>
              <c:strCache>
                <c:ptCount val="5"/>
                <c:pt idx="0">
                  <c:v>CSS</c:v>
                </c:pt>
                <c:pt idx="1">
                  <c:v>W&amp;C</c:v>
                </c:pt>
                <c:pt idx="2">
                  <c:v>BHH</c:v>
                </c:pt>
                <c:pt idx="3">
                  <c:v>GHH</c:v>
                </c:pt>
                <c:pt idx="4">
                  <c:v>SH</c:v>
                </c:pt>
              </c:strCache>
            </c:strRef>
          </c:cat>
          <c:val>
            <c:numRef>
              <c:f>'Data Charts '!$C$4:$C$8</c:f>
              <c:numCache>
                <c:formatCode>General</c:formatCode>
                <c:ptCount val="5"/>
                <c:pt idx="0">
                  <c:v>0</c:v>
                </c:pt>
                <c:pt idx="1">
                  <c:v>0</c:v>
                </c:pt>
                <c:pt idx="2">
                  <c:v>0</c:v>
                </c:pt>
                <c:pt idx="3">
                  <c:v>0</c:v>
                </c:pt>
                <c:pt idx="4">
                  <c:v>0</c:v>
                </c:pt>
              </c:numCache>
            </c:numRef>
          </c:val>
        </c:ser>
        <c:axId val="68422656"/>
        <c:axId val="68432640"/>
      </c:barChart>
      <c:catAx>
        <c:axId val="68422656"/>
        <c:scaling>
          <c:orientation val="minMax"/>
        </c:scaling>
        <c:axPos val="b"/>
        <c:tickLblPos val="nextTo"/>
        <c:crossAx val="68432640"/>
        <c:crosses val="autoZero"/>
        <c:auto val="1"/>
        <c:lblAlgn val="ctr"/>
        <c:lblOffset val="100"/>
      </c:catAx>
      <c:valAx>
        <c:axId val="68432640"/>
        <c:scaling>
          <c:orientation val="minMax"/>
        </c:scaling>
        <c:axPos val="l"/>
        <c:majorGridlines/>
        <c:numFmt formatCode="General" sourceLinked="1"/>
        <c:tickLblPos val="nextTo"/>
        <c:crossAx val="68422656"/>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plotArea>
      <c:layout/>
      <c:pieChart>
        <c:varyColors val="1"/>
        <c:ser>
          <c:idx val="0"/>
          <c:order val="0"/>
          <c:cat>
            <c:strRef>
              <c:f>'Data Charts '!$A$21:$A$24</c:f>
              <c:strCache>
                <c:ptCount val="4"/>
                <c:pt idx="0">
                  <c:v>Unavailable - 10</c:v>
                </c:pt>
                <c:pt idx="1">
                  <c:v>Available / Communication Error - 43</c:v>
                </c:pt>
                <c:pt idx="2">
                  <c:v>Stock / order - 20</c:v>
                </c:pt>
                <c:pt idx="3">
                  <c:v>Repair - 20</c:v>
                </c:pt>
              </c:strCache>
            </c:strRef>
          </c:cat>
          <c:val>
            <c:numRef>
              <c:f>'Data Charts '!$B$21:$B$24</c:f>
              <c:numCache>
                <c:formatCode>General</c:formatCode>
                <c:ptCount val="4"/>
                <c:pt idx="0">
                  <c:v>10</c:v>
                </c:pt>
                <c:pt idx="1">
                  <c:v>43</c:v>
                </c:pt>
                <c:pt idx="2">
                  <c:v>20</c:v>
                </c:pt>
                <c:pt idx="3">
                  <c:v>20</c:v>
                </c:pt>
              </c:numCache>
            </c:numRef>
          </c:val>
        </c:ser>
        <c:firstSliceAng val="0"/>
      </c:pieChart>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'Chart '!$F$8</c:f>
              <c:strCache>
                <c:ptCount val="1"/>
                <c:pt idx="0">
                  <c:v>SH / COM</c:v>
                </c:pt>
              </c:strCache>
            </c:strRef>
          </c:tx>
          <c:marker>
            <c:symbol val="none"/>
          </c:marker>
          <c:cat>
            <c:strRef>
              <c:f>'Chart '!$E$9:$E$15</c:f>
              <c:strCache>
                <c:ptCount val="7"/>
                <c:pt idx="0">
                  <c:v>Q1 2012-13</c:v>
                </c:pt>
                <c:pt idx="1">
                  <c:v>Q2</c:v>
                </c:pt>
                <c:pt idx="2">
                  <c:v>Q3</c:v>
                </c:pt>
                <c:pt idx="3">
                  <c:v>Q4</c:v>
                </c:pt>
                <c:pt idx="4">
                  <c:v>Q1 2013-14</c:v>
                </c:pt>
                <c:pt idx="5">
                  <c:v>Q2 2013-14</c:v>
                </c:pt>
                <c:pt idx="6">
                  <c:v>Q3 2013-14</c:v>
                </c:pt>
              </c:strCache>
            </c:strRef>
          </c:cat>
          <c:val>
            <c:numRef>
              <c:f>'Chart '!$F$9:$F$15</c:f>
              <c:numCache>
                <c:formatCode>General</c:formatCode>
                <c:ptCount val="7"/>
                <c:pt idx="0">
                  <c:v>5</c:v>
                </c:pt>
                <c:pt idx="1">
                  <c:v>1</c:v>
                </c:pt>
                <c:pt idx="2">
                  <c:v>2</c:v>
                </c:pt>
                <c:pt idx="3">
                  <c:v>4</c:v>
                </c:pt>
                <c:pt idx="4">
                  <c:v>5</c:v>
                </c:pt>
                <c:pt idx="5">
                  <c:v>1</c:v>
                </c:pt>
                <c:pt idx="6">
                  <c:v>1</c:v>
                </c:pt>
              </c:numCache>
            </c:numRef>
          </c:val>
        </c:ser>
        <c:ser>
          <c:idx val="1"/>
          <c:order val="1"/>
          <c:tx>
            <c:strRef>
              <c:f>'Chart '!$G$8</c:f>
              <c:strCache>
                <c:ptCount val="1"/>
                <c:pt idx="0">
                  <c:v>BHH</c:v>
                </c:pt>
              </c:strCache>
            </c:strRef>
          </c:tx>
          <c:marker>
            <c:symbol val="none"/>
          </c:marker>
          <c:cat>
            <c:strRef>
              <c:f>'Chart '!$E$9:$E$15</c:f>
              <c:strCache>
                <c:ptCount val="7"/>
                <c:pt idx="0">
                  <c:v>Q1 2012-13</c:v>
                </c:pt>
                <c:pt idx="1">
                  <c:v>Q2</c:v>
                </c:pt>
                <c:pt idx="2">
                  <c:v>Q3</c:v>
                </c:pt>
                <c:pt idx="3">
                  <c:v>Q4</c:v>
                </c:pt>
                <c:pt idx="4">
                  <c:v>Q1 2013-14</c:v>
                </c:pt>
                <c:pt idx="5">
                  <c:v>Q2 2013-14</c:v>
                </c:pt>
                <c:pt idx="6">
                  <c:v>Q3 2013-14</c:v>
                </c:pt>
              </c:strCache>
            </c:strRef>
          </c:cat>
          <c:val>
            <c:numRef>
              <c:f>'Chart '!$G$9:$G$15</c:f>
              <c:numCache>
                <c:formatCode>General</c:formatCode>
                <c:ptCount val="7"/>
                <c:pt idx="0">
                  <c:v>9</c:v>
                </c:pt>
                <c:pt idx="1">
                  <c:v>7</c:v>
                </c:pt>
                <c:pt idx="2">
                  <c:v>8</c:v>
                </c:pt>
                <c:pt idx="3">
                  <c:v>8</c:v>
                </c:pt>
                <c:pt idx="4">
                  <c:v>7</c:v>
                </c:pt>
                <c:pt idx="5">
                  <c:v>2</c:v>
                </c:pt>
                <c:pt idx="6">
                  <c:v>14</c:v>
                </c:pt>
              </c:numCache>
            </c:numRef>
          </c:val>
        </c:ser>
        <c:ser>
          <c:idx val="2"/>
          <c:order val="2"/>
          <c:tx>
            <c:strRef>
              <c:f>'Chart '!$H$8</c:f>
              <c:strCache>
                <c:ptCount val="1"/>
                <c:pt idx="0">
                  <c:v>GHH</c:v>
                </c:pt>
              </c:strCache>
            </c:strRef>
          </c:tx>
          <c:marker>
            <c:symbol val="none"/>
          </c:marker>
          <c:cat>
            <c:strRef>
              <c:f>'Chart '!$E$9:$E$15</c:f>
              <c:strCache>
                <c:ptCount val="7"/>
                <c:pt idx="0">
                  <c:v>Q1 2012-13</c:v>
                </c:pt>
                <c:pt idx="1">
                  <c:v>Q2</c:v>
                </c:pt>
                <c:pt idx="2">
                  <c:v>Q3</c:v>
                </c:pt>
                <c:pt idx="3">
                  <c:v>Q4</c:v>
                </c:pt>
                <c:pt idx="4">
                  <c:v>Q1 2013-14</c:v>
                </c:pt>
                <c:pt idx="5">
                  <c:v>Q2 2013-14</c:v>
                </c:pt>
                <c:pt idx="6">
                  <c:v>Q3 2013-14</c:v>
                </c:pt>
              </c:strCache>
            </c:strRef>
          </c:cat>
          <c:val>
            <c:numRef>
              <c:f>'Chart '!$H$9:$H$15</c:f>
              <c:numCache>
                <c:formatCode>General</c:formatCode>
                <c:ptCount val="7"/>
                <c:pt idx="0">
                  <c:v>2</c:v>
                </c:pt>
                <c:pt idx="1">
                  <c:v>5</c:v>
                </c:pt>
                <c:pt idx="2">
                  <c:v>6</c:v>
                </c:pt>
                <c:pt idx="3">
                  <c:v>5</c:v>
                </c:pt>
                <c:pt idx="4">
                  <c:v>8</c:v>
                </c:pt>
                <c:pt idx="5">
                  <c:v>6</c:v>
                </c:pt>
                <c:pt idx="6">
                  <c:v>3</c:v>
                </c:pt>
              </c:numCache>
            </c:numRef>
          </c:val>
        </c:ser>
        <c:ser>
          <c:idx val="3"/>
          <c:order val="3"/>
          <c:tx>
            <c:strRef>
              <c:f>'Chart '!$I$8</c:f>
              <c:strCache>
                <c:ptCount val="1"/>
                <c:pt idx="0">
                  <c:v>CSS</c:v>
                </c:pt>
              </c:strCache>
            </c:strRef>
          </c:tx>
          <c:marker>
            <c:symbol val="none"/>
          </c:marker>
          <c:cat>
            <c:strRef>
              <c:f>'Chart '!$E$9:$E$15</c:f>
              <c:strCache>
                <c:ptCount val="7"/>
                <c:pt idx="0">
                  <c:v>Q1 2012-13</c:v>
                </c:pt>
                <c:pt idx="1">
                  <c:v>Q2</c:v>
                </c:pt>
                <c:pt idx="2">
                  <c:v>Q3</c:v>
                </c:pt>
                <c:pt idx="3">
                  <c:v>Q4</c:v>
                </c:pt>
                <c:pt idx="4">
                  <c:v>Q1 2013-14</c:v>
                </c:pt>
                <c:pt idx="5">
                  <c:v>Q2 2013-14</c:v>
                </c:pt>
                <c:pt idx="6">
                  <c:v>Q3 2013-14</c:v>
                </c:pt>
              </c:strCache>
            </c:strRef>
          </c:cat>
          <c:val>
            <c:numRef>
              <c:f>'Chart '!$I$9:$I$15</c:f>
              <c:numCache>
                <c:formatCode>General</c:formatCode>
                <c:ptCount val="7"/>
                <c:pt idx="0">
                  <c:v>10</c:v>
                </c:pt>
                <c:pt idx="1">
                  <c:v>9</c:v>
                </c:pt>
                <c:pt idx="2">
                  <c:v>19</c:v>
                </c:pt>
                <c:pt idx="3">
                  <c:v>15</c:v>
                </c:pt>
                <c:pt idx="4">
                  <c:v>8</c:v>
                </c:pt>
                <c:pt idx="5">
                  <c:v>10</c:v>
                </c:pt>
                <c:pt idx="6">
                  <c:v>11</c:v>
                </c:pt>
              </c:numCache>
            </c:numRef>
          </c:val>
        </c:ser>
        <c:ser>
          <c:idx val="4"/>
          <c:order val="4"/>
          <c:tx>
            <c:strRef>
              <c:f>'Chart '!$J$8</c:f>
              <c:strCache>
                <c:ptCount val="1"/>
                <c:pt idx="0">
                  <c:v>W&amp;C</c:v>
                </c:pt>
              </c:strCache>
            </c:strRef>
          </c:tx>
          <c:marker>
            <c:symbol val="none"/>
          </c:marker>
          <c:cat>
            <c:strRef>
              <c:f>'Chart '!$E$9:$E$15</c:f>
              <c:strCache>
                <c:ptCount val="7"/>
                <c:pt idx="0">
                  <c:v>Q1 2012-13</c:v>
                </c:pt>
                <c:pt idx="1">
                  <c:v>Q2</c:v>
                </c:pt>
                <c:pt idx="2">
                  <c:v>Q3</c:v>
                </c:pt>
                <c:pt idx="3">
                  <c:v>Q4</c:v>
                </c:pt>
                <c:pt idx="4">
                  <c:v>Q1 2013-14</c:v>
                </c:pt>
                <c:pt idx="5">
                  <c:v>Q2 2013-14</c:v>
                </c:pt>
                <c:pt idx="6">
                  <c:v>Q3 2013-14</c:v>
                </c:pt>
              </c:strCache>
            </c:strRef>
          </c:cat>
          <c:val>
            <c:numRef>
              <c:f>'Chart '!$J$9:$J$15</c:f>
              <c:numCache>
                <c:formatCode>General</c:formatCode>
                <c:ptCount val="7"/>
                <c:pt idx="0">
                  <c:v>1</c:v>
                </c:pt>
                <c:pt idx="1">
                  <c:v>1</c:v>
                </c:pt>
                <c:pt idx="2">
                  <c:v>5</c:v>
                </c:pt>
                <c:pt idx="3">
                  <c:v>4</c:v>
                </c:pt>
                <c:pt idx="4">
                  <c:v>4</c:v>
                </c:pt>
                <c:pt idx="5">
                  <c:v>5</c:v>
                </c:pt>
                <c:pt idx="6">
                  <c:v>5</c:v>
                </c:pt>
              </c:numCache>
            </c:numRef>
          </c:val>
        </c:ser>
        <c:ser>
          <c:idx val="5"/>
          <c:order val="5"/>
          <c:tx>
            <c:strRef>
              <c:f>'Chart '!$K$8</c:f>
              <c:strCache>
                <c:ptCount val="1"/>
                <c:pt idx="0">
                  <c:v>Totals</c:v>
                </c:pt>
              </c:strCache>
            </c:strRef>
          </c:tx>
          <c:marker>
            <c:symbol val="none"/>
          </c:marker>
          <c:cat>
            <c:strRef>
              <c:f>'Chart '!$E$9:$E$15</c:f>
              <c:strCache>
                <c:ptCount val="7"/>
                <c:pt idx="0">
                  <c:v>Q1 2012-13</c:v>
                </c:pt>
                <c:pt idx="1">
                  <c:v>Q2</c:v>
                </c:pt>
                <c:pt idx="2">
                  <c:v>Q3</c:v>
                </c:pt>
                <c:pt idx="3">
                  <c:v>Q4</c:v>
                </c:pt>
                <c:pt idx="4">
                  <c:v>Q1 2013-14</c:v>
                </c:pt>
                <c:pt idx="5">
                  <c:v>Q2 2013-14</c:v>
                </c:pt>
                <c:pt idx="6">
                  <c:v>Q3 2013-14</c:v>
                </c:pt>
              </c:strCache>
            </c:strRef>
          </c:cat>
          <c:val>
            <c:numRef>
              <c:f>'Chart '!$K$9:$K$15</c:f>
              <c:numCache>
                <c:formatCode>General</c:formatCode>
                <c:ptCount val="7"/>
                <c:pt idx="0">
                  <c:v>27</c:v>
                </c:pt>
                <c:pt idx="1">
                  <c:v>23</c:v>
                </c:pt>
                <c:pt idx="2">
                  <c:v>40</c:v>
                </c:pt>
                <c:pt idx="3">
                  <c:v>36</c:v>
                </c:pt>
                <c:pt idx="4">
                  <c:v>32</c:v>
                </c:pt>
                <c:pt idx="5">
                  <c:v>24</c:v>
                </c:pt>
                <c:pt idx="6">
                  <c:v>34</c:v>
                </c:pt>
              </c:numCache>
            </c:numRef>
          </c:val>
        </c:ser>
        <c:marker val="1"/>
        <c:axId val="68617728"/>
        <c:axId val="68619264"/>
      </c:lineChart>
      <c:catAx>
        <c:axId val="68617728"/>
        <c:scaling>
          <c:orientation val="minMax"/>
        </c:scaling>
        <c:axPos val="b"/>
        <c:tickLblPos val="nextTo"/>
        <c:crossAx val="68619264"/>
        <c:crosses val="autoZero"/>
        <c:auto val="1"/>
        <c:lblAlgn val="ctr"/>
        <c:lblOffset val="100"/>
      </c:catAx>
      <c:valAx>
        <c:axId val="68619264"/>
        <c:scaling>
          <c:orientation val="minMax"/>
        </c:scaling>
        <c:axPos val="l"/>
        <c:majorGridlines/>
        <c:numFmt formatCode="General" sourceLinked="1"/>
        <c:tickLblPos val="nextTo"/>
        <c:crossAx val="68617728"/>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plotArea>
      <c:layout>
        <c:manualLayout>
          <c:layoutTarget val="inner"/>
          <c:xMode val="edge"/>
          <c:yMode val="edge"/>
          <c:x val="8.5416666666666724E-2"/>
          <c:y val="4.8611111111111112E-2"/>
          <c:w val="0.78298780353238684"/>
          <c:h val="0.64004629629629783"/>
        </c:manualLayout>
      </c:layout>
      <c:lineChart>
        <c:grouping val="standard"/>
        <c:ser>
          <c:idx val="0"/>
          <c:order val="0"/>
          <c:tx>
            <c:strRef>
              <c:f>'Medical Device Incidents'!$A$2</c:f>
              <c:strCache>
                <c:ptCount val="1"/>
                <c:pt idx="0">
                  <c:v>2012</c:v>
                </c:pt>
              </c:strCache>
            </c:strRef>
          </c:tx>
          <c:marker>
            <c:symbol val="none"/>
          </c:marker>
          <c:cat>
            <c:strRef>
              <c:f>'Medical Device Incidents'!$B$1:$F$1</c:f>
              <c:strCache>
                <c:ptCount val="5"/>
                <c:pt idx="0">
                  <c:v>Safety Alerts</c:v>
                </c:pt>
                <c:pt idx="1">
                  <c:v>Equipment Unavailable</c:v>
                </c:pt>
                <c:pt idx="2">
                  <c:v>Medical Device Incidents</c:v>
                </c:pt>
                <c:pt idx="3">
                  <c:v>Incident reported to MHRA</c:v>
                </c:pt>
                <c:pt idx="4">
                  <c:v>Infusion Pump Incidents</c:v>
                </c:pt>
              </c:strCache>
            </c:strRef>
          </c:cat>
          <c:val>
            <c:numRef>
              <c:f>'Medical Device Incidents'!$B$2:$F$2</c:f>
              <c:numCache>
                <c:formatCode>General</c:formatCode>
                <c:ptCount val="5"/>
                <c:pt idx="0">
                  <c:v>88</c:v>
                </c:pt>
                <c:pt idx="1">
                  <c:v>58</c:v>
                </c:pt>
                <c:pt idx="2">
                  <c:v>118</c:v>
                </c:pt>
                <c:pt idx="3">
                  <c:v>27</c:v>
                </c:pt>
                <c:pt idx="4">
                  <c:v>20</c:v>
                </c:pt>
              </c:numCache>
            </c:numRef>
          </c:val>
        </c:ser>
        <c:ser>
          <c:idx val="1"/>
          <c:order val="1"/>
          <c:tx>
            <c:strRef>
              <c:f>'Medical Device Incidents'!$A$3</c:f>
              <c:strCache>
                <c:ptCount val="1"/>
                <c:pt idx="0">
                  <c:v>2013</c:v>
                </c:pt>
              </c:strCache>
            </c:strRef>
          </c:tx>
          <c:marker>
            <c:symbol val="none"/>
          </c:marker>
          <c:cat>
            <c:strRef>
              <c:f>'Medical Device Incidents'!$B$1:$F$1</c:f>
              <c:strCache>
                <c:ptCount val="5"/>
                <c:pt idx="0">
                  <c:v>Safety Alerts</c:v>
                </c:pt>
                <c:pt idx="1">
                  <c:v>Equipment Unavailable</c:v>
                </c:pt>
                <c:pt idx="2">
                  <c:v>Medical Device Incidents</c:v>
                </c:pt>
                <c:pt idx="3">
                  <c:v>Incident reported to MHRA</c:v>
                </c:pt>
                <c:pt idx="4">
                  <c:v>Infusion Pump Incidents</c:v>
                </c:pt>
              </c:strCache>
            </c:strRef>
          </c:cat>
          <c:val>
            <c:numRef>
              <c:f>'Medical Device Incidents'!$B$3:$F$3</c:f>
              <c:numCache>
                <c:formatCode>General</c:formatCode>
                <c:ptCount val="5"/>
                <c:pt idx="0">
                  <c:v>76</c:v>
                </c:pt>
                <c:pt idx="1">
                  <c:v>93</c:v>
                </c:pt>
                <c:pt idx="2">
                  <c:v>128</c:v>
                </c:pt>
                <c:pt idx="3">
                  <c:v>22</c:v>
                </c:pt>
                <c:pt idx="4">
                  <c:v>22</c:v>
                </c:pt>
              </c:numCache>
            </c:numRef>
          </c:val>
        </c:ser>
        <c:marker val="1"/>
        <c:axId val="68647936"/>
        <c:axId val="68653824"/>
      </c:lineChart>
      <c:catAx>
        <c:axId val="68647936"/>
        <c:scaling>
          <c:orientation val="minMax"/>
        </c:scaling>
        <c:axPos val="b"/>
        <c:numFmt formatCode="General" sourceLinked="1"/>
        <c:tickLblPos val="nextTo"/>
        <c:crossAx val="68653824"/>
        <c:crosses val="autoZero"/>
        <c:auto val="1"/>
        <c:lblAlgn val="ctr"/>
        <c:lblOffset val="100"/>
      </c:catAx>
      <c:valAx>
        <c:axId val="68653824"/>
        <c:scaling>
          <c:orientation val="minMax"/>
        </c:scaling>
        <c:axPos val="l"/>
        <c:majorGridlines/>
        <c:numFmt formatCode="General" sourceLinked="1"/>
        <c:tickLblPos val="nextTo"/>
        <c:crossAx val="68647936"/>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4734</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Instructions</vt:lpstr>
    </vt:vector>
  </TitlesOfParts>
  <Company>BHH</Company>
  <LinksUpToDate>false</LinksUpToDate>
  <CharactersWithSpaces>30782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Purpose of report</dc:creator>
  <cp:keywords/>
  <cp:lastModifiedBy>freelj</cp:lastModifiedBy>
  <cp:revision>4</cp:revision>
  <cp:lastPrinted>2006-09-12T09:44:00Z</cp:lastPrinted>
  <dcterms:created xsi:type="dcterms:W3CDTF">2014-01-17T10:49:00Z</dcterms:created>
  <dcterms:modified xsi:type="dcterms:W3CDTF">2014-01-20T10:16:00Z</dcterms:modified>
</cp:coreProperties>
</file>